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21"/>
        </w:rPr>
      </w:pPr>
    </w:p>
    <w:p>
      <w:pPr>
        <w:pStyle w:val="BodyText"/>
        <w:ind w:left="7098"/>
      </w:pPr>
      <w:r>
        <w:rPr/>
        <w:drawing>
          <wp:inline distT="0" distB="0" distL="0" distR="0">
            <wp:extent cx="1584642" cy="123215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84642" cy="1232153"/>
                    </a:xfrm>
                    <a:prstGeom prst="rect">
                      <a:avLst/>
                    </a:prstGeom>
                  </pic:spPr>
                </pic:pic>
              </a:graphicData>
            </a:graphic>
          </wp:inline>
        </w:drawing>
      </w:r>
      <w:r>
        <w:rPr/>
      </w:r>
    </w:p>
    <w:p>
      <w:pPr>
        <w:pStyle w:val="BodyText"/>
        <w:rPr>
          <w:sz w:val="9"/>
        </w:rPr>
      </w:pPr>
    </w:p>
    <w:p>
      <w:pPr>
        <w:pStyle w:val="Heading1"/>
        <w:spacing w:before="93"/>
        <w:ind w:left="426" w:right="0"/>
      </w:pPr>
      <w:r>
        <w:rPr>
          <w:color w:val="363638"/>
        </w:rPr>
        <w:t>August 20</w:t>
      </w:r>
      <w:r>
        <w:rPr>
          <w:color w:val="575959"/>
        </w:rPr>
        <w:t>, </w:t>
      </w:r>
      <w:r>
        <w:rPr>
          <w:color w:val="363638"/>
        </w:rPr>
        <w:t>2020</w:t>
      </w:r>
    </w:p>
    <w:p>
      <w:pPr>
        <w:spacing w:line="242" w:lineRule="auto" w:before="190"/>
        <w:ind w:left="429" w:right="3679" w:hanging="2"/>
        <w:jc w:val="left"/>
        <w:rPr>
          <w:rFonts w:ascii="Arial"/>
          <w:sz w:val="24"/>
        </w:rPr>
      </w:pPr>
      <w:r>
        <w:rPr>
          <w:rFonts w:ascii="Arial"/>
          <w:color w:val="363638"/>
          <w:sz w:val="24"/>
        </w:rPr>
        <w:t>Mayor Mike Anderson </w:t>
      </w:r>
      <w:r>
        <w:rPr>
          <w:rFonts w:ascii="Arial"/>
          <w:color w:val="363638"/>
          <w:sz w:val="24"/>
          <w:u w:val="thick" w:color="363638"/>
        </w:rPr>
        <w:t>(</w:t>
      </w:r>
      <w:r>
        <w:rPr>
          <w:rFonts w:ascii="Arial"/>
          <w:color w:val="1367BA"/>
          <w:sz w:val="24"/>
          <w:u w:val="thick" w:color="363638"/>
        </w:rPr>
        <w:t>manderson@lovelafayette</w:t>
      </w:r>
      <w:r>
        <w:rPr>
          <w:rFonts w:ascii="Arial"/>
          <w:color w:val="2B6DAE"/>
          <w:sz w:val="24"/>
          <w:u w:val="thick" w:color="363638"/>
        </w:rPr>
        <w:t>.</w:t>
      </w:r>
      <w:r>
        <w:rPr>
          <w:rFonts w:ascii="Arial"/>
          <w:color w:val="1367BA"/>
          <w:sz w:val="24"/>
          <w:u w:val="thick" w:color="363638"/>
        </w:rPr>
        <w:t>org</w:t>
      </w:r>
      <w:r>
        <w:rPr>
          <w:rFonts w:ascii="Arial"/>
          <w:color w:val="363638"/>
          <w:sz w:val="24"/>
          <w:u w:val="thick" w:color="363638"/>
        </w:rPr>
        <w:t>)</w:t>
      </w:r>
      <w:r>
        <w:rPr>
          <w:rFonts w:ascii="Arial"/>
          <w:color w:val="363638"/>
          <w:sz w:val="24"/>
        </w:rPr>
        <w:t> Vice Mayor Susan Candell </w:t>
      </w:r>
      <w:r>
        <w:rPr>
          <w:rFonts w:ascii="Arial"/>
          <w:color w:val="363638"/>
          <w:sz w:val="24"/>
          <w:u w:val="thick" w:color="363638"/>
        </w:rPr>
        <w:t>(</w:t>
      </w:r>
      <w:r>
        <w:rPr>
          <w:rFonts w:ascii="Arial"/>
          <w:color w:val="1367BA"/>
          <w:sz w:val="24"/>
          <w:u w:val="thick" w:color="363638"/>
        </w:rPr>
        <w:t>scandell@lovelafayette</w:t>
      </w:r>
      <w:r>
        <w:rPr>
          <w:rFonts w:ascii="Arial"/>
          <w:color w:val="2B6DAE"/>
          <w:sz w:val="24"/>
          <w:u w:val="thick" w:color="363638"/>
        </w:rPr>
        <w:t>.</w:t>
      </w:r>
      <w:r>
        <w:rPr>
          <w:rFonts w:ascii="Arial"/>
          <w:color w:val="1367BA"/>
          <w:sz w:val="24"/>
          <w:u w:val="thick" w:color="363638"/>
        </w:rPr>
        <w:t>org</w:t>
      </w:r>
      <w:r>
        <w:rPr>
          <w:rFonts w:ascii="Arial"/>
          <w:color w:val="363638"/>
          <w:sz w:val="24"/>
          <w:u w:val="thick" w:color="363638"/>
        </w:rPr>
        <w:t>)</w:t>
      </w:r>
      <w:r>
        <w:rPr>
          <w:rFonts w:ascii="Arial"/>
          <w:color w:val="363638"/>
          <w:sz w:val="24"/>
        </w:rPr>
        <w:t> Councilmember Steven Bliss </w:t>
      </w:r>
      <w:r>
        <w:rPr>
          <w:rFonts w:ascii="Arial"/>
          <w:color w:val="363638"/>
          <w:sz w:val="24"/>
          <w:u w:val="thick" w:color="363638"/>
        </w:rPr>
        <w:t>(</w:t>
      </w:r>
      <w:r>
        <w:rPr>
          <w:rFonts w:ascii="Arial"/>
          <w:color w:val="1367BA"/>
          <w:sz w:val="24"/>
          <w:u w:val="thick" w:color="363638"/>
        </w:rPr>
        <w:t>sbliss@lovelafayette</w:t>
      </w:r>
      <w:r>
        <w:rPr>
          <w:rFonts w:ascii="Arial"/>
          <w:color w:val="2B6DAE"/>
          <w:sz w:val="24"/>
          <w:u w:val="thick" w:color="363638"/>
        </w:rPr>
        <w:t>.</w:t>
      </w:r>
      <w:r>
        <w:rPr>
          <w:rFonts w:ascii="Arial"/>
          <w:color w:val="1367BA"/>
          <w:sz w:val="24"/>
          <w:u w:val="thick" w:color="363638"/>
        </w:rPr>
        <w:t>org</w:t>
      </w:r>
      <w:r>
        <w:rPr>
          <w:rFonts w:ascii="Arial"/>
          <w:color w:val="363638"/>
          <w:sz w:val="24"/>
          <w:u w:val="thick" w:color="363638"/>
        </w:rPr>
        <w:t>)</w:t>
      </w:r>
    </w:p>
    <w:p>
      <w:pPr>
        <w:spacing w:line="242" w:lineRule="auto" w:before="0"/>
        <w:ind w:left="431" w:right="2946" w:firstLine="2"/>
        <w:jc w:val="left"/>
        <w:rPr>
          <w:rFonts w:ascii="Arial"/>
          <w:sz w:val="24"/>
        </w:rPr>
      </w:pPr>
      <w:r>
        <w:rPr>
          <w:rFonts w:ascii="Arial"/>
          <w:color w:val="363638"/>
          <w:sz w:val="24"/>
        </w:rPr>
        <w:t>Councilmember Cameron Burks </w:t>
      </w:r>
      <w:r>
        <w:rPr>
          <w:rFonts w:ascii="Arial"/>
          <w:color w:val="363638"/>
          <w:sz w:val="24"/>
          <w:u w:val="thick" w:color="363638"/>
        </w:rPr>
        <w:t>(</w:t>
      </w:r>
      <w:r>
        <w:rPr>
          <w:rFonts w:ascii="Arial"/>
          <w:color w:val="1367BA"/>
          <w:sz w:val="24"/>
          <w:u w:val="thick" w:color="363638"/>
        </w:rPr>
        <w:t>cburks@lovelafayette.org </w:t>
      </w:r>
      <w:r>
        <w:rPr>
          <w:rFonts w:ascii="Arial"/>
          <w:color w:val="363638"/>
          <w:sz w:val="24"/>
          <w:u w:val="thick" w:color="363638"/>
        </w:rPr>
        <w:t>)</w:t>
      </w:r>
      <w:r>
        <w:rPr>
          <w:rFonts w:ascii="Arial"/>
          <w:color w:val="363638"/>
          <w:sz w:val="24"/>
        </w:rPr>
        <w:t> Councilmember Teresa Gerringer </w:t>
      </w:r>
      <w:r>
        <w:rPr>
          <w:rFonts w:ascii="Arial"/>
          <w:color w:val="363638"/>
          <w:sz w:val="24"/>
          <w:u w:val="thick" w:color="363638"/>
        </w:rPr>
        <w:t>(</w:t>
      </w:r>
      <w:r>
        <w:rPr>
          <w:rFonts w:ascii="Arial"/>
          <w:color w:val="1367BA"/>
          <w:sz w:val="24"/>
          <w:u w:val="thick" w:color="363638"/>
        </w:rPr>
        <w:t>tgerringer@lovelafayette</w:t>
      </w:r>
      <w:r>
        <w:rPr>
          <w:rFonts w:ascii="Arial"/>
          <w:color w:val="578CBC"/>
          <w:sz w:val="24"/>
          <w:u w:val="thick" w:color="363638"/>
        </w:rPr>
        <w:t>.</w:t>
      </w:r>
      <w:r>
        <w:rPr>
          <w:rFonts w:ascii="Arial"/>
          <w:color w:val="1367BA"/>
          <w:sz w:val="24"/>
          <w:u w:val="thick" w:color="363638"/>
        </w:rPr>
        <w:t>org</w:t>
      </w:r>
      <w:r>
        <w:rPr>
          <w:rFonts w:ascii="Arial"/>
          <w:color w:val="363638"/>
          <w:sz w:val="24"/>
          <w:u w:val="thick" w:color="363638"/>
        </w:rPr>
        <w:t>)</w:t>
      </w:r>
      <w:r>
        <w:rPr>
          <w:rFonts w:ascii="Arial"/>
          <w:color w:val="363638"/>
          <w:sz w:val="24"/>
        </w:rPr>
        <w:t> c/o City Clerk Joanne Robbins Urobbins@c i.lafayette.ca</w:t>
      </w:r>
      <w:r>
        <w:rPr>
          <w:rFonts w:ascii="Arial"/>
          <w:color w:val="575959"/>
          <w:sz w:val="24"/>
        </w:rPr>
        <w:t>.</w:t>
      </w:r>
      <w:r>
        <w:rPr>
          <w:rFonts w:ascii="Arial"/>
          <w:color w:val="363638"/>
          <w:sz w:val="24"/>
        </w:rPr>
        <w:t>us)</w:t>
      </w:r>
    </w:p>
    <w:p>
      <w:pPr>
        <w:spacing w:before="12"/>
        <w:ind w:left="433" w:right="0" w:firstLine="0"/>
        <w:jc w:val="left"/>
        <w:rPr>
          <w:rFonts w:ascii="Arial"/>
          <w:sz w:val="24"/>
        </w:rPr>
      </w:pPr>
      <w:r>
        <w:rPr>
          <w:rFonts w:ascii="Arial"/>
          <w:color w:val="363638"/>
          <w:sz w:val="24"/>
        </w:rPr>
        <w:t>City of Lafayette</w:t>
      </w:r>
    </w:p>
    <w:p>
      <w:pPr>
        <w:spacing w:before="4"/>
        <w:ind w:left="440" w:right="0" w:firstLine="0"/>
        <w:jc w:val="left"/>
        <w:rPr>
          <w:rFonts w:ascii="Arial"/>
          <w:sz w:val="24"/>
        </w:rPr>
      </w:pPr>
      <w:r>
        <w:rPr>
          <w:rFonts w:ascii="Arial"/>
          <w:color w:val="363638"/>
          <w:sz w:val="24"/>
        </w:rPr>
        <w:t>3675 Mt. Diablo Blvd.</w:t>
      </w:r>
      <w:r>
        <w:rPr>
          <w:rFonts w:ascii="Arial"/>
          <w:color w:val="575959"/>
          <w:sz w:val="24"/>
        </w:rPr>
        <w:t>, </w:t>
      </w:r>
      <w:r>
        <w:rPr>
          <w:rFonts w:ascii="Arial"/>
          <w:color w:val="363638"/>
          <w:sz w:val="24"/>
        </w:rPr>
        <w:t>Suite 210</w:t>
      </w:r>
    </w:p>
    <w:p>
      <w:pPr>
        <w:spacing w:before="4"/>
        <w:ind w:left="433" w:right="0" w:firstLine="0"/>
        <w:jc w:val="left"/>
        <w:rPr>
          <w:rFonts w:ascii="Arial"/>
          <w:sz w:val="24"/>
        </w:rPr>
      </w:pPr>
      <w:r>
        <w:rPr>
          <w:rFonts w:ascii="Arial"/>
          <w:color w:val="363638"/>
          <w:sz w:val="24"/>
        </w:rPr>
        <w:t>Lafayette</w:t>
      </w:r>
      <w:r>
        <w:rPr>
          <w:rFonts w:ascii="Arial"/>
          <w:color w:val="575959"/>
          <w:sz w:val="24"/>
        </w:rPr>
        <w:t>, </w:t>
      </w:r>
      <w:r>
        <w:rPr>
          <w:rFonts w:ascii="Arial"/>
          <w:color w:val="363638"/>
          <w:sz w:val="24"/>
        </w:rPr>
        <w:t>CA 94549</w:t>
      </w:r>
    </w:p>
    <w:p>
      <w:pPr>
        <w:pStyle w:val="BodyText"/>
        <w:spacing w:before="6"/>
        <w:rPr>
          <w:rFonts w:ascii="Arial"/>
          <w:sz w:val="25"/>
        </w:rPr>
      </w:pPr>
    </w:p>
    <w:p>
      <w:pPr>
        <w:spacing w:line="259" w:lineRule="auto" w:before="0"/>
        <w:ind w:left="430" w:right="539" w:hanging="2"/>
        <w:jc w:val="left"/>
        <w:rPr>
          <w:rFonts w:ascii="Arial"/>
          <w:b/>
          <w:sz w:val="23"/>
        </w:rPr>
      </w:pPr>
      <w:r>
        <w:rPr>
          <w:rFonts w:ascii="Arial"/>
          <w:b/>
          <w:color w:val="363638"/>
          <w:w w:val="105"/>
          <w:sz w:val="23"/>
        </w:rPr>
        <w:t>Re: Recommended Action on L0J-11 Terraces of Lafayette (Deer Hill); City Council Agenda August 24, 2020</w:t>
      </w:r>
    </w:p>
    <w:p>
      <w:pPr>
        <w:pStyle w:val="BodyText"/>
        <w:rPr>
          <w:rFonts w:ascii="Arial"/>
          <w:b/>
          <w:sz w:val="23"/>
        </w:rPr>
      </w:pPr>
    </w:p>
    <w:p>
      <w:pPr>
        <w:pStyle w:val="Heading1"/>
        <w:ind w:left="432" w:right="0"/>
      </w:pPr>
      <w:r>
        <w:rPr>
          <w:color w:val="363638"/>
        </w:rPr>
        <w:t>Dear Mayor Anderson, Vice Mayor Candell</w:t>
      </w:r>
      <w:r>
        <w:rPr>
          <w:color w:val="575959"/>
        </w:rPr>
        <w:t>, </w:t>
      </w:r>
      <w:r>
        <w:rPr>
          <w:color w:val="363638"/>
        </w:rPr>
        <w:t>and Members of the City</w:t>
      </w:r>
      <w:r>
        <w:rPr>
          <w:color w:val="363638"/>
          <w:spacing w:val="51"/>
        </w:rPr>
        <w:t> </w:t>
      </w:r>
      <w:r>
        <w:rPr>
          <w:color w:val="363638"/>
        </w:rPr>
        <w:t>Council </w:t>
      </w:r>
      <w:r>
        <w:rPr>
          <w:color w:val="575959"/>
        </w:rPr>
        <w:t>:</w:t>
      </w:r>
    </w:p>
    <w:p>
      <w:pPr>
        <w:pStyle w:val="BodyText"/>
        <w:spacing w:before="1"/>
        <w:rPr>
          <w:rFonts w:ascii="Arial"/>
          <w:sz w:val="25"/>
        </w:rPr>
      </w:pPr>
    </w:p>
    <w:p>
      <w:pPr>
        <w:spacing w:line="244" w:lineRule="auto" w:before="0"/>
        <w:ind w:left="432" w:right="539" w:firstLine="736"/>
        <w:jc w:val="left"/>
        <w:rPr>
          <w:rFonts w:ascii="Arial"/>
          <w:sz w:val="24"/>
        </w:rPr>
      </w:pPr>
      <w:r>
        <w:rPr>
          <w:rFonts w:ascii="Arial"/>
          <w:color w:val="363638"/>
          <w:sz w:val="24"/>
        </w:rPr>
        <w:t>At the close of the hearing on August 10</w:t>
      </w:r>
      <w:r>
        <w:rPr>
          <w:rFonts w:ascii="Arial"/>
          <w:color w:val="575959"/>
          <w:sz w:val="24"/>
        </w:rPr>
        <w:t>, </w:t>
      </w:r>
      <w:r>
        <w:rPr>
          <w:rFonts w:ascii="Arial"/>
          <w:color w:val="363638"/>
          <w:sz w:val="24"/>
        </w:rPr>
        <w:t>the city council made it clear that it had listened to the public comment</w:t>
      </w:r>
      <w:r>
        <w:rPr>
          <w:rFonts w:ascii="Arial"/>
          <w:color w:val="575959"/>
          <w:sz w:val="24"/>
        </w:rPr>
        <w:t>, </w:t>
      </w:r>
      <w:r>
        <w:rPr>
          <w:rFonts w:ascii="Arial"/>
          <w:color w:val="363638"/>
          <w:sz w:val="24"/>
        </w:rPr>
        <w:t>reviewed the materials</w:t>
      </w:r>
      <w:r>
        <w:rPr>
          <w:rFonts w:ascii="Arial"/>
          <w:color w:val="575959"/>
          <w:sz w:val="24"/>
        </w:rPr>
        <w:t>, </w:t>
      </w:r>
      <w:r>
        <w:rPr>
          <w:rFonts w:ascii="Arial"/>
          <w:color w:val="363638"/>
          <w:sz w:val="24"/>
        </w:rPr>
        <w:t>and was ready to deliberate on this matter. Save Lafayette does not intend to submit more consultant materials, but reserves the right to respond if new and additional materials are submitted by the city's consultants, the developer</w:t>
      </w:r>
      <w:r>
        <w:rPr>
          <w:rFonts w:ascii="Arial"/>
          <w:color w:val="575959"/>
          <w:sz w:val="24"/>
        </w:rPr>
        <w:t>, </w:t>
      </w:r>
      <w:r>
        <w:rPr>
          <w:rFonts w:ascii="Arial"/>
          <w:color w:val="363638"/>
          <w:sz w:val="24"/>
        </w:rPr>
        <w:t>or third parties.</w:t>
      </w:r>
    </w:p>
    <w:p>
      <w:pPr>
        <w:pStyle w:val="BodyText"/>
        <w:spacing w:before="6"/>
        <w:rPr>
          <w:rFonts w:ascii="Arial"/>
          <w:sz w:val="16"/>
        </w:rPr>
      </w:pPr>
    </w:p>
    <w:p>
      <w:pPr>
        <w:spacing w:before="92"/>
        <w:ind w:left="4092" w:right="0" w:firstLine="0"/>
        <w:jc w:val="left"/>
        <w:rPr>
          <w:rFonts w:ascii="Arial"/>
          <w:sz w:val="24"/>
        </w:rPr>
      </w:pPr>
      <w:r>
        <w:rPr>
          <w:rFonts w:ascii="Arial"/>
          <w:color w:val="363638"/>
          <w:sz w:val="24"/>
          <w:u w:val="thick" w:color="363638"/>
        </w:rPr>
        <w:t>RECOMMENDED ACTION</w:t>
      </w:r>
    </w:p>
    <w:p>
      <w:pPr>
        <w:pStyle w:val="BodyText"/>
        <w:spacing w:before="7"/>
        <w:rPr>
          <w:rFonts w:ascii="Arial"/>
          <w:sz w:val="25"/>
        </w:rPr>
      </w:pPr>
    </w:p>
    <w:p>
      <w:pPr>
        <w:spacing w:line="242" w:lineRule="auto" w:before="0"/>
        <w:ind w:left="436" w:right="539" w:firstLine="733"/>
        <w:jc w:val="left"/>
        <w:rPr>
          <w:rFonts w:ascii="Arial"/>
          <w:sz w:val="24"/>
        </w:rPr>
      </w:pPr>
      <w:r>
        <w:rPr>
          <w:rFonts w:ascii="Arial"/>
          <w:color w:val="363638"/>
          <w:sz w:val="24"/>
        </w:rPr>
        <w:t>We would like to provide our position on the proper decision to be made by the council. This recommendation is shaped by several unavoidable factors:</w:t>
      </w:r>
    </w:p>
    <w:p>
      <w:pPr>
        <w:pStyle w:val="BodyText"/>
        <w:spacing w:before="5"/>
        <w:rPr>
          <w:rFonts w:ascii="Arial"/>
          <w:sz w:val="16"/>
        </w:rPr>
      </w:pPr>
    </w:p>
    <w:p>
      <w:pPr>
        <w:spacing w:line="242" w:lineRule="auto" w:before="93"/>
        <w:ind w:left="435" w:right="539" w:firstLine="732"/>
        <w:jc w:val="left"/>
        <w:rPr>
          <w:rFonts w:ascii="Arial"/>
          <w:sz w:val="24"/>
        </w:rPr>
      </w:pPr>
      <w:r>
        <w:rPr>
          <w:rFonts w:ascii="Arial"/>
          <w:color w:val="363638"/>
          <w:sz w:val="24"/>
          <w:u w:val="thick" w:color="575959"/>
        </w:rPr>
        <w:t>First</w:t>
      </w:r>
      <w:r>
        <w:rPr>
          <w:rFonts w:ascii="Arial"/>
          <w:color w:val="575959"/>
          <w:sz w:val="24"/>
        </w:rPr>
        <w:t>, </w:t>
      </w:r>
      <w:r>
        <w:rPr>
          <w:rFonts w:ascii="Arial"/>
          <w:color w:val="363638"/>
          <w:sz w:val="24"/>
        </w:rPr>
        <w:t>it is abundantly clear that the </w:t>
      </w:r>
      <w:r>
        <w:rPr>
          <w:rFonts w:ascii="Arial"/>
          <w:color w:val="575959"/>
          <w:sz w:val="24"/>
        </w:rPr>
        <w:t>'</w:t>
      </w:r>
      <w:r>
        <w:rPr>
          <w:rFonts w:ascii="Arial"/>
          <w:color w:val="363638"/>
          <w:sz w:val="24"/>
        </w:rPr>
        <w:t>addendum</w:t>
      </w:r>
      <w:r>
        <w:rPr>
          <w:rFonts w:ascii="Arial"/>
          <w:color w:val="575959"/>
          <w:sz w:val="24"/>
        </w:rPr>
        <w:t>' </w:t>
      </w:r>
      <w:r>
        <w:rPr>
          <w:rFonts w:ascii="Arial"/>
          <w:color w:val="363638"/>
          <w:sz w:val="24"/>
        </w:rPr>
        <w:t>document fails to adequately address multiple environmental and public safety issues and does not comply with the rigorous requirements of CEQA. The </w:t>
      </w:r>
      <w:r>
        <w:rPr>
          <w:rFonts w:ascii="Arial"/>
          <w:color w:val="575959"/>
          <w:sz w:val="24"/>
        </w:rPr>
        <w:t>'</w:t>
      </w:r>
      <w:r>
        <w:rPr>
          <w:rFonts w:ascii="Arial"/>
          <w:color w:val="363638"/>
          <w:sz w:val="24"/>
        </w:rPr>
        <w:t>addendum</w:t>
      </w:r>
      <w:r>
        <w:rPr>
          <w:rFonts w:ascii="Arial"/>
          <w:color w:val="575959"/>
          <w:sz w:val="24"/>
        </w:rPr>
        <w:t>' </w:t>
      </w:r>
      <w:r>
        <w:rPr>
          <w:rFonts w:ascii="Arial"/>
          <w:color w:val="363638"/>
          <w:sz w:val="24"/>
        </w:rPr>
        <w:t>must be disapproved as it fails to comply with CEQA.</w:t>
      </w:r>
    </w:p>
    <w:p>
      <w:pPr>
        <w:pStyle w:val="BodyText"/>
        <w:spacing w:before="3"/>
        <w:rPr>
          <w:rFonts w:ascii="Arial"/>
          <w:sz w:val="16"/>
        </w:rPr>
      </w:pPr>
    </w:p>
    <w:p>
      <w:pPr>
        <w:spacing w:line="242" w:lineRule="auto" w:before="93"/>
        <w:ind w:left="437" w:right="410" w:firstLine="734"/>
        <w:jc w:val="left"/>
        <w:rPr>
          <w:rFonts w:ascii="Arial"/>
          <w:sz w:val="24"/>
        </w:rPr>
      </w:pPr>
      <w:r>
        <w:rPr>
          <w:rFonts w:ascii="Arial"/>
          <w:color w:val="363638"/>
          <w:sz w:val="24"/>
          <w:u w:val="thick" w:color="363638"/>
        </w:rPr>
        <w:t>Second,</w:t>
      </w:r>
      <w:r>
        <w:rPr>
          <w:rFonts w:ascii="Arial"/>
          <w:color w:val="363638"/>
          <w:sz w:val="24"/>
        </w:rPr>
        <w:t> staff inadvisedly comb</w:t>
      </w:r>
      <w:r>
        <w:rPr>
          <w:rFonts w:ascii="Arial"/>
          <w:color w:val="575959"/>
          <w:sz w:val="24"/>
        </w:rPr>
        <w:t>i</w:t>
      </w:r>
      <w:r>
        <w:rPr>
          <w:rFonts w:ascii="Arial"/>
          <w:color w:val="363638"/>
          <w:sz w:val="24"/>
        </w:rPr>
        <w:t>ned the </w:t>
      </w:r>
      <w:r>
        <w:rPr>
          <w:rFonts w:ascii="Arial"/>
          <w:color w:val="363638"/>
          <w:spacing w:val="-4"/>
          <w:sz w:val="24"/>
        </w:rPr>
        <w:t>hear</w:t>
      </w:r>
      <w:r>
        <w:rPr>
          <w:rFonts w:ascii="Arial"/>
          <w:color w:val="575959"/>
          <w:spacing w:val="-4"/>
          <w:sz w:val="24"/>
        </w:rPr>
        <w:t>i</w:t>
      </w:r>
      <w:r>
        <w:rPr>
          <w:rFonts w:ascii="Arial"/>
          <w:color w:val="363638"/>
          <w:spacing w:val="-4"/>
          <w:sz w:val="24"/>
        </w:rPr>
        <w:t>ngs </w:t>
      </w:r>
      <w:r>
        <w:rPr>
          <w:rFonts w:ascii="Arial"/>
          <w:color w:val="363638"/>
          <w:sz w:val="24"/>
        </w:rPr>
        <w:t>on the application with the hearings on the addendum and requirements of CEQA, even though this was not required </w:t>
      </w:r>
      <w:r>
        <w:rPr>
          <w:rFonts w:ascii="Arial"/>
          <w:color w:val="575959"/>
          <w:sz w:val="24"/>
        </w:rPr>
        <w:t>. </w:t>
      </w:r>
      <w:r>
        <w:rPr>
          <w:rFonts w:ascii="Arial"/>
          <w:color w:val="363638"/>
          <w:sz w:val="24"/>
        </w:rPr>
        <w:t>The HAA fully leaves the requirements of CEQA intact (note, for example, that the city council voted on the original EIR in 2013 </w:t>
      </w:r>
      <w:r>
        <w:rPr>
          <w:rFonts w:ascii="Arial"/>
          <w:i/>
          <w:color w:val="363638"/>
          <w:sz w:val="24"/>
        </w:rPr>
        <w:t>without </w:t>
      </w:r>
      <w:r>
        <w:rPr>
          <w:rFonts w:ascii="Arial"/>
          <w:color w:val="363638"/>
          <w:sz w:val="24"/>
        </w:rPr>
        <w:t>combining it with a hearing on approving or denying the project). This has placed great and unnecessary pressure</w:t>
      </w:r>
      <w:r>
        <w:rPr>
          <w:rFonts w:ascii="Arial"/>
          <w:color w:val="363638"/>
          <w:spacing w:val="-10"/>
          <w:sz w:val="24"/>
        </w:rPr>
        <w:t> </w:t>
      </w:r>
      <w:r>
        <w:rPr>
          <w:rFonts w:ascii="Arial"/>
          <w:color w:val="363638"/>
          <w:sz w:val="24"/>
        </w:rPr>
        <w:t>on</w:t>
      </w:r>
    </w:p>
    <w:p>
      <w:pPr>
        <w:spacing w:after="0" w:line="242" w:lineRule="auto"/>
        <w:jc w:val="left"/>
        <w:rPr>
          <w:rFonts w:ascii="Arial"/>
          <w:sz w:val="24"/>
        </w:rPr>
        <w:sectPr>
          <w:footerReference w:type="default" r:id="rId5"/>
          <w:type w:val="continuous"/>
          <w:pgSz w:w="12240" w:h="15840"/>
          <w:pgMar w:footer="871" w:top="1500" w:bottom="1060" w:left="960" w:right="960"/>
          <w:pgNumType w:start="1"/>
        </w:sectPr>
      </w:pPr>
    </w:p>
    <w:p>
      <w:pPr>
        <w:spacing w:line="242" w:lineRule="auto" w:before="81"/>
        <w:ind w:left="397" w:right="539" w:firstLine="4"/>
        <w:jc w:val="left"/>
        <w:rPr>
          <w:rFonts w:ascii="Arial"/>
          <w:sz w:val="24"/>
        </w:rPr>
      </w:pPr>
      <w:r>
        <w:rPr>
          <w:rFonts w:ascii="Arial"/>
          <w:color w:val="363636"/>
          <w:sz w:val="24"/>
        </w:rPr>
        <w:t>the public and city council. Nevertheless</w:t>
      </w:r>
      <w:r>
        <w:rPr>
          <w:rFonts w:ascii="Arial"/>
          <w:color w:val="525454"/>
          <w:sz w:val="24"/>
        </w:rPr>
        <w:t>, </w:t>
      </w:r>
      <w:r>
        <w:rPr>
          <w:rFonts w:ascii="Arial"/>
          <w:color w:val="363636"/>
          <w:sz w:val="24"/>
        </w:rPr>
        <w:t>we are at the point at which the applicant insists there have been five hearings and there must be an up-or-down vote</w:t>
      </w:r>
      <w:r>
        <w:rPr>
          <w:rFonts w:ascii="Arial"/>
          <w:color w:val="525454"/>
          <w:sz w:val="24"/>
        </w:rPr>
        <w:t>. </w:t>
      </w:r>
      <w:r>
        <w:rPr>
          <w:rFonts w:ascii="Arial"/>
          <w:color w:val="363636"/>
          <w:sz w:val="24"/>
        </w:rPr>
        <w:t>Although Save Lafayette does not agree the five-meeting rule applies, it does not think it prudent to extend the proceedings to a sixth meeting and for the city to become embroiled in a legal controversy on this point.</w:t>
      </w:r>
    </w:p>
    <w:p>
      <w:pPr>
        <w:pStyle w:val="BodyText"/>
        <w:spacing w:before="1"/>
        <w:rPr>
          <w:rFonts w:ascii="Arial"/>
          <w:sz w:val="18"/>
        </w:rPr>
      </w:pPr>
    </w:p>
    <w:p>
      <w:pPr>
        <w:spacing w:line="244" w:lineRule="auto" w:before="93"/>
        <w:ind w:left="397" w:right="755" w:firstLine="735"/>
        <w:jc w:val="left"/>
        <w:rPr>
          <w:rFonts w:ascii="Arial"/>
          <w:sz w:val="24"/>
        </w:rPr>
      </w:pPr>
      <w:r>
        <w:rPr>
          <w:rFonts w:ascii="Arial"/>
          <w:color w:val="363636"/>
          <w:sz w:val="24"/>
          <w:u w:val="thick" w:color="525454"/>
        </w:rPr>
        <w:t>Third</w:t>
      </w:r>
      <w:r>
        <w:rPr>
          <w:rFonts w:ascii="Arial"/>
          <w:color w:val="525454"/>
          <w:sz w:val="24"/>
        </w:rPr>
        <w:t>, </w:t>
      </w:r>
      <w:r>
        <w:rPr>
          <w:rFonts w:ascii="Arial"/>
          <w:color w:val="363636"/>
          <w:sz w:val="24"/>
        </w:rPr>
        <w:t>city staff continues to ignore the inconsistency of this application with the Low Density Single Family Land Use Designation (SFR-LD) enacted on August 10</w:t>
      </w:r>
      <w:r>
        <w:rPr>
          <w:rFonts w:ascii="Arial"/>
          <w:color w:val="525454"/>
          <w:sz w:val="24"/>
        </w:rPr>
        <w:t>, </w:t>
      </w:r>
      <w:r>
        <w:rPr>
          <w:rFonts w:ascii="Arial"/>
          <w:color w:val="363636"/>
          <w:sz w:val="24"/>
        </w:rPr>
        <w:t>2015 </w:t>
      </w:r>
      <w:r>
        <w:rPr>
          <w:rFonts w:ascii="Arial"/>
          <w:color w:val="525454"/>
          <w:sz w:val="24"/>
        </w:rPr>
        <w:t>, </w:t>
      </w:r>
      <w:r>
        <w:rPr>
          <w:rFonts w:ascii="Arial"/>
          <w:color w:val="363636"/>
          <w:sz w:val="24"/>
        </w:rPr>
        <w:t>and R-65 zoning enacted in 2018. A general plan amendment and zoning amendment are required to process the application, but the developer failed to seek this.</w:t>
      </w:r>
    </w:p>
    <w:p>
      <w:pPr>
        <w:pStyle w:val="BodyText"/>
        <w:spacing w:before="11"/>
        <w:rPr>
          <w:rFonts w:ascii="Arial"/>
          <w:sz w:val="24"/>
        </w:rPr>
      </w:pPr>
    </w:p>
    <w:p>
      <w:pPr>
        <w:spacing w:line="242" w:lineRule="auto" w:before="0"/>
        <w:ind w:left="402" w:right="539" w:firstLine="726"/>
        <w:jc w:val="left"/>
        <w:rPr>
          <w:rFonts w:ascii="Arial"/>
          <w:sz w:val="24"/>
        </w:rPr>
      </w:pPr>
      <w:r>
        <w:rPr>
          <w:rFonts w:ascii="Arial"/>
          <w:color w:val="363636"/>
          <w:sz w:val="24"/>
        </w:rPr>
        <w:t>Accordingly</w:t>
      </w:r>
      <w:r>
        <w:rPr>
          <w:rFonts w:ascii="Arial"/>
          <w:color w:val="525454"/>
          <w:sz w:val="24"/>
        </w:rPr>
        <w:t>, </w:t>
      </w:r>
      <w:r>
        <w:rPr>
          <w:rFonts w:ascii="Arial"/>
          <w:color w:val="363636"/>
          <w:sz w:val="24"/>
        </w:rPr>
        <w:t>for the protection of the Lafayette public and to comply with CEQA and othe</w:t>
      </w:r>
      <w:r>
        <w:rPr>
          <w:rFonts w:ascii="Arial"/>
          <w:color w:val="525454"/>
          <w:sz w:val="24"/>
        </w:rPr>
        <w:t>r </w:t>
      </w:r>
      <w:r>
        <w:rPr>
          <w:rFonts w:ascii="Arial"/>
          <w:color w:val="363636"/>
          <w:sz w:val="24"/>
        </w:rPr>
        <w:t>laws</w:t>
      </w:r>
      <w:r>
        <w:rPr>
          <w:rFonts w:ascii="Arial"/>
          <w:color w:val="525454"/>
          <w:sz w:val="24"/>
        </w:rPr>
        <w:t>, </w:t>
      </w:r>
      <w:r>
        <w:rPr>
          <w:rFonts w:ascii="Arial"/>
          <w:color w:val="363636"/>
          <w:sz w:val="24"/>
        </w:rPr>
        <w:t>Save Lafayette urges the following be adopted by the city council</w:t>
      </w:r>
      <w:r>
        <w:rPr>
          <w:rFonts w:ascii="Arial"/>
          <w:color w:val="525454"/>
          <w:sz w:val="24"/>
        </w:rPr>
        <w:t>:</w:t>
      </w:r>
    </w:p>
    <w:p>
      <w:pPr>
        <w:pStyle w:val="BodyText"/>
        <w:spacing w:before="9"/>
        <w:rPr>
          <w:rFonts w:ascii="Arial"/>
          <w:sz w:val="25"/>
        </w:rPr>
      </w:pPr>
    </w:p>
    <w:p>
      <w:pPr>
        <w:pStyle w:val="ListParagraph"/>
        <w:numPr>
          <w:ilvl w:val="0"/>
          <w:numId w:val="1"/>
        </w:numPr>
        <w:tabs>
          <w:tab w:pos="1404" w:val="left" w:leader="none"/>
        </w:tabs>
        <w:spacing w:line="242" w:lineRule="auto" w:before="1" w:after="0"/>
        <w:ind w:left="392" w:right="387" w:firstLine="739"/>
        <w:jc w:val="left"/>
        <w:rPr>
          <w:color w:val="363636"/>
          <w:sz w:val="24"/>
        </w:rPr>
      </w:pPr>
      <w:r>
        <w:rPr>
          <w:color w:val="363636"/>
          <w:sz w:val="24"/>
        </w:rPr>
        <w:t>That it is determined the addendum to the EIR is not adequate and violates the requirements of CEQA</w:t>
      </w:r>
      <w:r>
        <w:rPr>
          <w:color w:val="525454"/>
          <w:sz w:val="24"/>
        </w:rPr>
        <w:t>, </w:t>
      </w:r>
      <w:r>
        <w:rPr>
          <w:color w:val="363636"/>
          <w:sz w:val="24"/>
        </w:rPr>
        <w:t>with findings that (i) wildfire safety issues have not been adequate</w:t>
      </w:r>
      <w:r>
        <w:rPr>
          <w:color w:val="525454"/>
          <w:sz w:val="24"/>
        </w:rPr>
        <w:t>l</w:t>
      </w:r>
      <w:r>
        <w:rPr>
          <w:color w:val="363636"/>
          <w:sz w:val="24"/>
        </w:rPr>
        <w:t>y </w:t>
      </w:r>
      <w:r>
        <w:rPr>
          <w:color w:val="363636"/>
          <w:spacing w:val="-4"/>
          <w:sz w:val="24"/>
        </w:rPr>
        <w:t>addressed</w:t>
      </w:r>
      <w:r>
        <w:rPr>
          <w:color w:val="525454"/>
          <w:spacing w:val="-4"/>
          <w:sz w:val="24"/>
        </w:rPr>
        <w:t>, </w:t>
      </w:r>
      <w:r>
        <w:rPr>
          <w:color w:val="363636"/>
          <w:sz w:val="24"/>
        </w:rPr>
        <w:t>(ii) there has been a failure to establish that during wi</w:t>
      </w:r>
      <w:r>
        <w:rPr>
          <w:color w:val="525454"/>
          <w:sz w:val="24"/>
        </w:rPr>
        <w:t>l</w:t>
      </w:r>
      <w:r>
        <w:rPr>
          <w:color w:val="363636"/>
          <w:sz w:val="24"/>
        </w:rPr>
        <w:t>dfire emergency and evacuation cond</w:t>
      </w:r>
      <w:r>
        <w:rPr>
          <w:color w:val="525454"/>
          <w:sz w:val="24"/>
        </w:rPr>
        <w:t>i</w:t>
      </w:r>
      <w:r>
        <w:rPr>
          <w:color w:val="363636"/>
          <w:sz w:val="24"/>
        </w:rPr>
        <w:t>tions the purported school bus evacuation plan would protect students at Acalanes and Springhill, and two preschools in the area, nor has this evacuation proposal been cleared  and approved by said schools,  (iii) the purported traff</w:t>
      </w:r>
      <w:r>
        <w:rPr>
          <w:color w:val="1D1D1D"/>
          <w:sz w:val="24"/>
        </w:rPr>
        <w:t>i</w:t>
      </w:r>
      <w:r>
        <w:rPr>
          <w:color w:val="363636"/>
          <w:sz w:val="24"/>
        </w:rPr>
        <w:t>c mitigation is based upon a third traffic lane to the freeway that will require an exception or amendment of the Gateway policy that has not occurred and the city does not control</w:t>
      </w:r>
      <w:r>
        <w:rPr>
          <w:color w:val="646464"/>
          <w:sz w:val="24"/>
        </w:rPr>
        <w:t>, </w:t>
      </w:r>
      <w:r>
        <w:rPr>
          <w:color w:val="363636"/>
          <w:sz w:val="24"/>
        </w:rPr>
        <w:t>(iv) there has not been a reliable showing there will not be delays to emergency responders in violation of the General Plan standards, Ch. VI</w:t>
      </w:r>
      <w:r>
        <w:rPr>
          <w:color w:val="525454"/>
          <w:sz w:val="24"/>
        </w:rPr>
        <w:t>, </w:t>
      </w:r>
      <w:r>
        <w:rPr>
          <w:color w:val="363636"/>
          <w:sz w:val="24"/>
        </w:rPr>
        <w:t>Policy S-4</w:t>
      </w:r>
      <w:r>
        <w:rPr>
          <w:color w:val="525454"/>
          <w:sz w:val="24"/>
        </w:rPr>
        <w:t>.</w:t>
      </w:r>
      <w:r>
        <w:rPr>
          <w:color w:val="363636"/>
          <w:sz w:val="24"/>
        </w:rPr>
        <w:t>1.1 [improve response time of emergency response  </w:t>
      </w:r>
      <w:r>
        <w:rPr>
          <w:color w:val="363636"/>
          <w:spacing w:val="-7"/>
          <w:sz w:val="24"/>
        </w:rPr>
        <w:t>vehicles]</w:t>
      </w:r>
      <w:r>
        <w:rPr>
          <w:color w:val="646464"/>
          <w:spacing w:val="-7"/>
          <w:sz w:val="24"/>
        </w:rPr>
        <w:t>,  </w:t>
      </w:r>
      <w:r>
        <w:rPr>
          <w:color w:val="363636"/>
          <w:sz w:val="24"/>
        </w:rPr>
        <w:t>S-4</w:t>
      </w:r>
      <w:r>
        <w:rPr>
          <w:color w:val="525454"/>
          <w:sz w:val="24"/>
        </w:rPr>
        <w:t>.</w:t>
      </w:r>
      <w:r>
        <w:rPr>
          <w:color w:val="363636"/>
          <w:sz w:val="24"/>
        </w:rPr>
        <w:t>1</w:t>
      </w:r>
      <w:r>
        <w:rPr>
          <w:color w:val="525454"/>
          <w:sz w:val="24"/>
        </w:rPr>
        <w:t>.</w:t>
      </w:r>
      <w:r>
        <w:rPr>
          <w:color w:val="363636"/>
          <w:sz w:val="24"/>
        </w:rPr>
        <w:t>3  ["five  minute response time</w:t>
      </w:r>
      <w:r>
        <w:rPr>
          <w:color w:val="525454"/>
          <w:sz w:val="24"/>
        </w:rPr>
        <w:t>"</w:t>
      </w:r>
      <w:r>
        <w:rPr>
          <w:color w:val="363636"/>
          <w:sz w:val="24"/>
        </w:rPr>
        <w:t>]</w:t>
      </w:r>
      <w:r>
        <w:rPr>
          <w:color w:val="525454"/>
          <w:sz w:val="24"/>
        </w:rPr>
        <w:t>, </w:t>
      </w:r>
      <w:r>
        <w:rPr>
          <w:color w:val="363636"/>
          <w:sz w:val="24"/>
        </w:rPr>
        <w:t>and inaccurate assumptions of an </w:t>
      </w:r>
      <w:r>
        <w:rPr>
          <w:color w:val="646464"/>
          <w:sz w:val="24"/>
        </w:rPr>
        <w:t>"</w:t>
      </w:r>
      <w:r>
        <w:rPr>
          <w:color w:val="363636"/>
          <w:sz w:val="24"/>
        </w:rPr>
        <w:t>emptynetwork</w:t>
      </w:r>
      <w:r>
        <w:rPr>
          <w:color w:val="525454"/>
          <w:sz w:val="24"/>
        </w:rPr>
        <w:t>" </w:t>
      </w:r>
      <w:r>
        <w:rPr>
          <w:color w:val="363636"/>
          <w:sz w:val="24"/>
        </w:rPr>
        <w:t>and traffic  volumes for evacuation ca</w:t>
      </w:r>
      <w:r>
        <w:rPr>
          <w:color w:val="525454"/>
          <w:sz w:val="24"/>
        </w:rPr>
        <w:t>l</w:t>
      </w:r>
      <w:r>
        <w:rPr>
          <w:color w:val="363636"/>
          <w:sz w:val="24"/>
        </w:rPr>
        <w:t>culations (v) there wou</w:t>
      </w:r>
      <w:r>
        <w:rPr>
          <w:color w:val="525454"/>
          <w:sz w:val="24"/>
        </w:rPr>
        <w:t>l</w:t>
      </w:r>
      <w:r>
        <w:rPr>
          <w:color w:val="363636"/>
          <w:sz w:val="24"/>
        </w:rPr>
        <w:t>d be a violation of General Plan standards </w:t>
      </w:r>
      <w:r>
        <w:rPr>
          <w:color w:val="525454"/>
          <w:sz w:val="24"/>
        </w:rPr>
        <w:t>, </w:t>
      </w:r>
      <w:r>
        <w:rPr>
          <w:color w:val="363636"/>
          <w:sz w:val="24"/>
        </w:rPr>
        <w:t>Ch</w:t>
      </w:r>
      <w:r>
        <w:rPr>
          <w:color w:val="646464"/>
          <w:sz w:val="24"/>
        </w:rPr>
        <w:t>.</w:t>
      </w:r>
      <w:r>
        <w:rPr>
          <w:color w:val="363636"/>
          <w:sz w:val="24"/>
        </w:rPr>
        <w:t> VI</w:t>
      </w:r>
      <w:r>
        <w:rPr>
          <w:color w:val="525454"/>
          <w:sz w:val="24"/>
        </w:rPr>
        <w:t>, </w:t>
      </w:r>
      <w:r>
        <w:rPr>
          <w:color w:val="363636"/>
          <w:sz w:val="24"/>
        </w:rPr>
        <w:t>Policy S-8.1.3 [Maintain designated emergency evacuation routes in a passable condition at all times]</w:t>
      </w:r>
      <w:r>
        <w:rPr>
          <w:color w:val="646464"/>
          <w:sz w:val="24"/>
        </w:rPr>
        <w:t>, </w:t>
      </w:r>
      <w:r>
        <w:rPr>
          <w:color w:val="363636"/>
          <w:sz w:val="24"/>
        </w:rPr>
        <w:t>Policy Goal S</w:t>
      </w:r>
      <w:r>
        <w:rPr>
          <w:color w:val="525454"/>
          <w:sz w:val="24"/>
        </w:rPr>
        <w:t>-</w:t>
      </w:r>
      <w:r>
        <w:rPr>
          <w:color w:val="363636"/>
          <w:sz w:val="24"/>
        </w:rPr>
        <w:t>4 [Minimize  risks to Lafayette residents  and property from fire hazards], and other written city </w:t>
      </w:r>
      <w:r>
        <w:rPr>
          <w:color w:val="363636"/>
          <w:spacing w:val="-5"/>
          <w:sz w:val="24"/>
        </w:rPr>
        <w:t>standards</w:t>
      </w:r>
      <w:r>
        <w:rPr>
          <w:color w:val="525454"/>
          <w:spacing w:val="-5"/>
          <w:sz w:val="24"/>
        </w:rPr>
        <w:t>, </w:t>
      </w:r>
      <w:r>
        <w:rPr>
          <w:color w:val="363636"/>
          <w:sz w:val="24"/>
        </w:rPr>
        <w:t>(vi) there has been a failure to address protection and mitigation measures for at least six special status spec</w:t>
      </w:r>
      <w:r>
        <w:rPr>
          <w:color w:val="525454"/>
          <w:sz w:val="24"/>
        </w:rPr>
        <w:t>i</w:t>
      </w:r>
      <w:r>
        <w:rPr>
          <w:color w:val="363636"/>
          <w:sz w:val="24"/>
        </w:rPr>
        <w:t>es photographed on the site in 2020, (vii) the addendum failed to utilize appropriate downgradient air monitoring under foreseeable conditions near Acalanes high school</w:t>
      </w:r>
      <w:r>
        <w:rPr>
          <w:color w:val="525454"/>
          <w:sz w:val="24"/>
        </w:rPr>
        <w:t>,</w:t>
      </w:r>
      <w:r>
        <w:rPr>
          <w:color w:val="363636"/>
          <w:sz w:val="24"/>
        </w:rPr>
        <w:t> with the resu</w:t>
      </w:r>
      <w:r>
        <w:rPr>
          <w:color w:val="525454"/>
          <w:sz w:val="24"/>
        </w:rPr>
        <w:t>l</w:t>
      </w:r>
      <w:r>
        <w:rPr>
          <w:color w:val="363636"/>
          <w:sz w:val="24"/>
        </w:rPr>
        <w:t>t that applicable air quality standards would, in fact, be violated; </w:t>
      </w:r>
      <w:r>
        <w:rPr>
          <w:b/>
          <w:color w:val="363636"/>
          <w:sz w:val="24"/>
        </w:rPr>
        <w:t>(viii) </w:t>
      </w:r>
      <w:r>
        <w:rPr>
          <w:color w:val="363636"/>
          <w:sz w:val="24"/>
        </w:rPr>
        <w:t>it has been demonstrated that the massive 500</w:t>
      </w:r>
      <w:r>
        <w:rPr>
          <w:color w:val="646464"/>
          <w:sz w:val="24"/>
        </w:rPr>
        <w:t>,</w:t>
      </w:r>
      <w:r>
        <w:rPr>
          <w:color w:val="363636"/>
          <w:sz w:val="24"/>
        </w:rPr>
        <w:t>000 cubic yard earthmoving required by the project would establish a cancer risk nine times above the BAAQMD significance threshold 200 meters </w:t>
      </w:r>
      <w:r>
        <w:rPr>
          <w:color w:val="363636"/>
          <w:spacing w:val="-8"/>
          <w:sz w:val="24"/>
        </w:rPr>
        <w:t>downwind</w:t>
      </w:r>
      <w:r>
        <w:rPr>
          <w:color w:val="525454"/>
          <w:spacing w:val="-8"/>
          <w:sz w:val="24"/>
        </w:rPr>
        <w:t>, </w:t>
      </w:r>
      <w:r>
        <w:rPr>
          <w:color w:val="363636"/>
          <w:sz w:val="24"/>
        </w:rPr>
        <w:t>near Acalanes  High School;  </w:t>
      </w:r>
      <w:r>
        <w:rPr>
          <w:b/>
          <w:color w:val="363636"/>
          <w:sz w:val="24"/>
        </w:rPr>
        <w:t>(ix) </w:t>
      </w:r>
      <w:r>
        <w:rPr>
          <w:color w:val="363636"/>
          <w:sz w:val="24"/>
        </w:rPr>
        <w:t>there has been a failure to adequately evaluate indoor air quality  impacts; (x) the impact  on more protected trees than addressed in the 2013 EIR is potentially significant  and has not been analyzed </w:t>
      </w:r>
      <w:r>
        <w:rPr>
          <w:color w:val="525454"/>
          <w:sz w:val="24"/>
        </w:rPr>
        <w:t>; </w:t>
      </w:r>
      <w:r>
        <w:rPr>
          <w:b/>
          <w:color w:val="363636"/>
          <w:sz w:val="23"/>
        </w:rPr>
        <w:t>(xi) </w:t>
      </w:r>
      <w:r>
        <w:rPr>
          <w:color w:val="363636"/>
          <w:sz w:val="24"/>
        </w:rPr>
        <w:t>failure to preserve wildrye areas; </w:t>
      </w:r>
      <w:r>
        <w:rPr>
          <w:b/>
          <w:color w:val="363636"/>
          <w:sz w:val="23"/>
        </w:rPr>
        <w:t>(xii) </w:t>
      </w:r>
      <w:r>
        <w:rPr>
          <w:color w:val="363636"/>
          <w:sz w:val="24"/>
        </w:rPr>
        <w:t>multiple inconsistencies with the policies and ordinances  of the general plan were not evaluated  in the addendum</w:t>
      </w:r>
      <w:r>
        <w:rPr>
          <w:color w:val="525454"/>
          <w:sz w:val="24"/>
        </w:rPr>
        <w:t>;</w:t>
      </w:r>
      <w:r>
        <w:rPr>
          <w:color w:val="363636"/>
          <w:sz w:val="24"/>
        </w:rPr>
        <w:t> and (xiii) further findings to be developed  by staff and legal counsel</w:t>
      </w:r>
      <w:r>
        <w:rPr>
          <w:color w:val="525454"/>
          <w:sz w:val="24"/>
        </w:rPr>
        <w:t>, </w:t>
      </w:r>
      <w:r>
        <w:rPr>
          <w:color w:val="363636"/>
          <w:sz w:val="24"/>
        </w:rPr>
        <w:t>to be brought back to the city council for</w:t>
      </w:r>
      <w:r>
        <w:rPr>
          <w:color w:val="363636"/>
          <w:spacing w:val="17"/>
          <w:sz w:val="24"/>
        </w:rPr>
        <w:t> </w:t>
      </w:r>
      <w:r>
        <w:rPr>
          <w:color w:val="363636"/>
          <w:sz w:val="24"/>
        </w:rPr>
        <w:t>adoption</w:t>
      </w:r>
      <w:r>
        <w:rPr>
          <w:color w:val="646464"/>
          <w:sz w:val="24"/>
        </w:rPr>
        <w:t>.</w:t>
      </w:r>
    </w:p>
    <w:p>
      <w:pPr>
        <w:spacing w:after="0" w:line="242" w:lineRule="auto"/>
        <w:jc w:val="left"/>
        <w:rPr>
          <w:sz w:val="24"/>
        </w:rPr>
        <w:sectPr>
          <w:pgSz w:w="12240" w:h="15840"/>
          <w:pgMar w:header="0" w:footer="871" w:top="1280" w:bottom="1080" w:left="960" w:right="960"/>
        </w:sectPr>
      </w:pPr>
    </w:p>
    <w:p>
      <w:pPr>
        <w:pStyle w:val="ListParagraph"/>
        <w:numPr>
          <w:ilvl w:val="0"/>
          <w:numId w:val="1"/>
        </w:numPr>
        <w:tabs>
          <w:tab w:pos="1419" w:val="left" w:leader="none"/>
        </w:tabs>
        <w:spacing w:line="242" w:lineRule="auto" w:before="76" w:after="0"/>
        <w:ind w:left="408" w:right="522" w:firstLine="737"/>
        <w:jc w:val="left"/>
        <w:rPr>
          <w:color w:val="363638"/>
          <w:sz w:val="24"/>
        </w:rPr>
      </w:pPr>
      <w:r>
        <w:rPr>
          <w:color w:val="363638"/>
          <w:spacing w:val="-3"/>
          <w:sz w:val="24"/>
        </w:rPr>
        <w:t>Further</w:t>
      </w:r>
      <w:r>
        <w:rPr>
          <w:color w:val="4F4F4F"/>
          <w:spacing w:val="-3"/>
          <w:sz w:val="24"/>
        </w:rPr>
        <w:t>, </w:t>
      </w:r>
      <w:r>
        <w:rPr>
          <w:color w:val="363638"/>
          <w:sz w:val="24"/>
        </w:rPr>
        <w:t>the city council dete</w:t>
      </w:r>
      <w:r>
        <w:rPr>
          <w:color w:val="4F4F4F"/>
          <w:sz w:val="24"/>
        </w:rPr>
        <w:t>r</w:t>
      </w:r>
      <w:r>
        <w:rPr>
          <w:color w:val="363638"/>
          <w:sz w:val="24"/>
        </w:rPr>
        <w:t>mines that the procedural and substantive protections of a subsequent EIR pursuant to Pub</w:t>
      </w:r>
      <w:r>
        <w:rPr>
          <w:color w:val="676767"/>
          <w:sz w:val="24"/>
        </w:rPr>
        <w:t>. </w:t>
      </w:r>
      <w:r>
        <w:rPr>
          <w:color w:val="363638"/>
          <w:sz w:val="24"/>
        </w:rPr>
        <w:t>Res </w:t>
      </w:r>
      <w:r>
        <w:rPr>
          <w:color w:val="4F4F4F"/>
          <w:sz w:val="24"/>
        </w:rPr>
        <w:t>. </w:t>
      </w:r>
      <w:r>
        <w:rPr>
          <w:color w:val="363638"/>
          <w:sz w:val="24"/>
        </w:rPr>
        <w:t>Code section 21166 and CEQA </w:t>
      </w:r>
      <w:r>
        <w:rPr>
          <w:color w:val="363638"/>
          <w:spacing w:val="-5"/>
          <w:sz w:val="24"/>
        </w:rPr>
        <w:t>Guidel</w:t>
      </w:r>
      <w:r>
        <w:rPr>
          <w:color w:val="4F4F4F"/>
          <w:spacing w:val="-5"/>
          <w:sz w:val="24"/>
        </w:rPr>
        <w:t>i</w:t>
      </w:r>
      <w:r>
        <w:rPr>
          <w:color w:val="363638"/>
          <w:spacing w:val="-5"/>
          <w:sz w:val="24"/>
        </w:rPr>
        <w:t>ne </w:t>
      </w:r>
      <w:r>
        <w:rPr>
          <w:color w:val="363638"/>
          <w:sz w:val="24"/>
        </w:rPr>
        <w:t>15162 are required by</w:t>
      </w:r>
      <w:r>
        <w:rPr>
          <w:color w:val="363638"/>
          <w:spacing w:val="40"/>
          <w:sz w:val="24"/>
        </w:rPr>
        <w:t> </w:t>
      </w:r>
      <w:r>
        <w:rPr>
          <w:color w:val="363638"/>
          <w:sz w:val="24"/>
        </w:rPr>
        <w:t>law</w:t>
      </w:r>
      <w:r>
        <w:rPr>
          <w:color w:val="4F4F4F"/>
          <w:sz w:val="24"/>
        </w:rPr>
        <w:t>.</w:t>
      </w:r>
    </w:p>
    <w:p>
      <w:pPr>
        <w:pStyle w:val="BodyText"/>
        <w:spacing w:before="10"/>
        <w:rPr>
          <w:rFonts w:ascii="Arial"/>
          <w:sz w:val="25"/>
        </w:rPr>
      </w:pPr>
    </w:p>
    <w:p>
      <w:pPr>
        <w:pStyle w:val="ListParagraph"/>
        <w:numPr>
          <w:ilvl w:val="0"/>
          <w:numId w:val="1"/>
        </w:numPr>
        <w:tabs>
          <w:tab w:pos="1414" w:val="left" w:leader="none"/>
        </w:tabs>
        <w:spacing w:line="244" w:lineRule="auto" w:before="1" w:after="0"/>
        <w:ind w:left="405" w:right="407" w:firstLine="742"/>
        <w:jc w:val="left"/>
        <w:rPr>
          <w:color w:val="363638"/>
          <w:sz w:val="24"/>
        </w:rPr>
      </w:pPr>
      <w:r>
        <w:rPr>
          <w:color w:val="363638"/>
          <w:spacing w:val="-3"/>
          <w:sz w:val="24"/>
        </w:rPr>
        <w:t>Further</w:t>
      </w:r>
      <w:r>
        <w:rPr>
          <w:color w:val="4F4F4F"/>
          <w:spacing w:val="-3"/>
          <w:sz w:val="24"/>
        </w:rPr>
        <w:t>, </w:t>
      </w:r>
      <w:r>
        <w:rPr>
          <w:color w:val="363638"/>
          <w:sz w:val="24"/>
        </w:rPr>
        <w:t>on the information and showing before it</w:t>
      </w:r>
      <w:r>
        <w:rPr>
          <w:color w:val="4F4F4F"/>
          <w:sz w:val="24"/>
        </w:rPr>
        <w:t>, </w:t>
      </w:r>
      <w:r>
        <w:rPr>
          <w:color w:val="363638"/>
          <w:sz w:val="24"/>
        </w:rPr>
        <w:t>the city council </w:t>
      </w:r>
      <w:r>
        <w:rPr>
          <w:color w:val="363638"/>
          <w:spacing w:val="-5"/>
          <w:sz w:val="24"/>
        </w:rPr>
        <w:t>determ</w:t>
      </w:r>
      <w:r>
        <w:rPr>
          <w:color w:val="4F4F4F"/>
          <w:spacing w:val="-5"/>
          <w:sz w:val="24"/>
        </w:rPr>
        <w:t>i</w:t>
      </w:r>
      <w:r>
        <w:rPr>
          <w:color w:val="363638"/>
          <w:spacing w:val="-5"/>
          <w:sz w:val="24"/>
        </w:rPr>
        <w:t>nes </w:t>
      </w:r>
      <w:r>
        <w:rPr>
          <w:color w:val="363638"/>
          <w:sz w:val="24"/>
        </w:rPr>
        <w:t>that it wou</w:t>
      </w:r>
      <w:r>
        <w:rPr>
          <w:color w:val="4F4F4F"/>
          <w:sz w:val="24"/>
        </w:rPr>
        <w:t>l</w:t>
      </w:r>
      <w:r>
        <w:rPr>
          <w:color w:val="363638"/>
          <w:sz w:val="24"/>
        </w:rPr>
        <w:t>d not have sufficient information befo</w:t>
      </w:r>
      <w:r>
        <w:rPr>
          <w:color w:val="4F4F4F"/>
          <w:sz w:val="24"/>
        </w:rPr>
        <w:t>r</w:t>
      </w:r>
      <w:r>
        <w:rPr>
          <w:color w:val="363638"/>
          <w:sz w:val="24"/>
        </w:rPr>
        <w:t>e </w:t>
      </w:r>
      <w:r>
        <w:rPr>
          <w:color w:val="4F4F4F"/>
          <w:sz w:val="24"/>
        </w:rPr>
        <w:t>i</w:t>
      </w:r>
      <w:r>
        <w:rPr>
          <w:color w:val="363638"/>
          <w:sz w:val="24"/>
        </w:rPr>
        <w:t>t to be able to fully analyze mitigation measures and make the findings for a statement of overriding considerations under CEQA </w:t>
      </w:r>
      <w:r>
        <w:rPr>
          <w:color w:val="4F4F4F"/>
          <w:sz w:val="24"/>
        </w:rPr>
        <w:t>, </w:t>
      </w:r>
      <w:r>
        <w:rPr>
          <w:color w:val="363638"/>
          <w:sz w:val="24"/>
        </w:rPr>
        <w:t>Pub</w:t>
      </w:r>
      <w:r>
        <w:rPr>
          <w:color w:val="4F4F4F"/>
          <w:sz w:val="24"/>
        </w:rPr>
        <w:t>. </w:t>
      </w:r>
      <w:r>
        <w:rPr>
          <w:color w:val="363638"/>
          <w:spacing w:val="3"/>
          <w:sz w:val="24"/>
        </w:rPr>
        <w:t>Res</w:t>
      </w:r>
      <w:r>
        <w:rPr>
          <w:color w:val="4F4F4F"/>
          <w:spacing w:val="3"/>
          <w:sz w:val="24"/>
        </w:rPr>
        <w:t>. </w:t>
      </w:r>
      <w:r>
        <w:rPr>
          <w:color w:val="363638"/>
          <w:sz w:val="24"/>
        </w:rPr>
        <w:t>Code section 2</w:t>
      </w:r>
      <w:r>
        <w:rPr>
          <w:color w:val="4F4F4F"/>
          <w:sz w:val="24"/>
        </w:rPr>
        <w:t>1</w:t>
      </w:r>
      <w:r>
        <w:rPr>
          <w:color w:val="363638"/>
          <w:sz w:val="24"/>
        </w:rPr>
        <w:t>081(a) and</w:t>
      </w:r>
      <w:r>
        <w:rPr>
          <w:color w:val="363638"/>
          <w:spacing w:val="-11"/>
          <w:sz w:val="24"/>
        </w:rPr>
        <w:t> </w:t>
      </w:r>
      <w:r>
        <w:rPr>
          <w:color w:val="363638"/>
          <w:sz w:val="24"/>
        </w:rPr>
        <w:t>(b)</w:t>
      </w:r>
      <w:r>
        <w:rPr>
          <w:color w:val="4F4F4F"/>
          <w:sz w:val="24"/>
        </w:rPr>
        <w:t>.</w:t>
      </w:r>
    </w:p>
    <w:p>
      <w:pPr>
        <w:pStyle w:val="BodyText"/>
        <w:spacing w:before="1"/>
        <w:rPr>
          <w:rFonts w:ascii="Arial"/>
          <w:sz w:val="25"/>
        </w:rPr>
      </w:pPr>
    </w:p>
    <w:p>
      <w:pPr>
        <w:pStyle w:val="ListParagraph"/>
        <w:numPr>
          <w:ilvl w:val="0"/>
          <w:numId w:val="1"/>
        </w:numPr>
        <w:tabs>
          <w:tab w:pos="1414" w:val="left" w:leader="none"/>
        </w:tabs>
        <w:spacing w:line="242" w:lineRule="auto" w:before="0" w:after="0"/>
        <w:ind w:left="405" w:right="427" w:firstLine="729"/>
        <w:jc w:val="left"/>
        <w:rPr>
          <w:color w:val="363638"/>
          <w:sz w:val="24"/>
        </w:rPr>
      </w:pPr>
      <w:r>
        <w:rPr>
          <w:color w:val="363638"/>
          <w:sz w:val="24"/>
        </w:rPr>
        <w:t>Further</w:t>
      </w:r>
      <w:r>
        <w:rPr>
          <w:color w:val="4F4F4F"/>
          <w:sz w:val="24"/>
        </w:rPr>
        <w:t>, </w:t>
      </w:r>
      <w:r>
        <w:rPr>
          <w:color w:val="363638"/>
          <w:sz w:val="24"/>
        </w:rPr>
        <w:t>under the </w:t>
      </w:r>
      <w:r>
        <w:rPr>
          <w:color w:val="4F4F4F"/>
          <w:sz w:val="24"/>
        </w:rPr>
        <w:t>i</w:t>
      </w:r>
      <w:r>
        <w:rPr>
          <w:color w:val="363638"/>
          <w:sz w:val="24"/>
        </w:rPr>
        <w:t>mpetus of the so-called five-meeting rule of </w:t>
      </w:r>
      <w:r>
        <w:rPr>
          <w:color w:val="363638"/>
          <w:spacing w:val="-3"/>
          <w:sz w:val="24"/>
        </w:rPr>
        <w:t>Gov</w:t>
      </w:r>
      <w:r>
        <w:rPr>
          <w:color w:val="4F4F4F"/>
          <w:spacing w:val="-3"/>
          <w:sz w:val="24"/>
        </w:rPr>
        <w:t>. </w:t>
      </w:r>
      <w:r>
        <w:rPr>
          <w:color w:val="363638"/>
          <w:sz w:val="24"/>
        </w:rPr>
        <w:t>Code section 65905.5(a) cited by the </w:t>
      </w:r>
      <w:r>
        <w:rPr>
          <w:color w:val="363638"/>
          <w:spacing w:val="-4"/>
          <w:sz w:val="24"/>
        </w:rPr>
        <w:t>applicant</w:t>
      </w:r>
      <w:r>
        <w:rPr>
          <w:color w:val="4F4F4F"/>
          <w:spacing w:val="-4"/>
          <w:sz w:val="24"/>
        </w:rPr>
        <w:t>, </w:t>
      </w:r>
      <w:r>
        <w:rPr>
          <w:color w:val="363638"/>
          <w:sz w:val="24"/>
        </w:rPr>
        <w:t>the city council denies the pending application under the HAA on the basis that a completed and approved CEQA process has not occurred</w:t>
      </w:r>
      <w:r>
        <w:rPr>
          <w:color w:val="4F4F4F"/>
          <w:sz w:val="24"/>
        </w:rPr>
        <w:t>, </w:t>
      </w:r>
      <w:r>
        <w:rPr>
          <w:color w:val="363638"/>
          <w:sz w:val="24"/>
        </w:rPr>
        <w:t>as required by law</w:t>
      </w:r>
      <w:r>
        <w:rPr>
          <w:color w:val="4F4F4F"/>
          <w:sz w:val="24"/>
        </w:rPr>
        <w:t>, </w:t>
      </w:r>
      <w:r>
        <w:rPr>
          <w:color w:val="363638"/>
          <w:sz w:val="24"/>
        </w:rPr>
        <w:t>includ</w:t>
      </w:r>
      <w:r>
        <w:rPr>
          <w:color w:val="4F4F4F"/>
          <w:sz w:val="24"/>
        </w:rPr>
        <w:t>i</w:t>
      </w:r>
      <w:r>
        <w:rPr>
          <w:color w:val="363638"/>
          <w:sz w:val="24"/>
        </w:rPr>
        <w:t>ng CEQA and the HAA</w:t>
      </w:r>
      <w:r>
        <w:rPr>
          <w:color w:val="4F4F4F"/>
          <w:sz w:val="24"/>
        </w:rPr>
        <w:t>, </w:t>
      </w:r>
      <w:r>
        <w:rPr>
          <w:color w:val="363638"/>
          <w:spacing w:val="-6"/>
          <w:sz w:val="24"/>
        </w:rPr>
        <w:t>Gov</w:t>
      </w:r>
      <w:r>
        <w:rPr>
          <w:color w:val="676767"/>
          <w:spacing w:val="-6"/>
          <w:sz w:val="24"/>
        </w:rPr>
        <w:t>. </w:t>
      </w:r>
      <w:r>
        <w:rPr>
          <w:color w:val="363638"/>
          <w:sz w:val="24"/>
        </w:rPr>
        <w:t>Code sections 65589.5(d) and </w:t>
      </w:r>
      <w:r>
        <w:rPr>
          <w:color w:val="363638"/>
          <w:spacing w:val="-3"/>
          <w:sz w:val="24"/>
        </w:rPr>
        <w:t>65589</w:t>
      </w:r>
      <w:r>
        <w:rPr>
          <w:color w:val="4F4F4F"/>
          <w:spacing w:val="-3"/>
          <w:sz w:val="24"/>
        </w:rPr>
        <w:t>.</w:t>
      </w:r>
      <w:r>
        <w:rPr>
          <w:color w:val="363638"/>
          <w:spacing w:val="-3"/>
          <w:sz w:val="24"/>
        </w:rPr>
        <w:t>5(0)(6)</w:t>
      </w:r>
      <w:r>
        <w:rPr>
          <w:color w:val="363638"/>
          <w:spacing w:val="-14"/>
          <w:sz w:val="24"/>
        </w:rPr>
        <w:t> </w:t>
      </w:r>
      <w:r>
        <w:rPr>
          <w:color w:val="4F4F4F"/>
          <w:sz w:val="24"/>
        </w:rPr>
        <w:t>.</w:t>
      </w:r>
    </w:p>
    <w:p>
      <w:pPr>
        <w:pStyle w:val="BodyText"/>
        <w:spacing w:before="8"/>
        <w:rPr>
          <w:rFonts w:ascii="Arial"/>
          <w:sz w:val="25"/>
        </w:rPr>
      </w:pPr>
    </w:p>
    <w:p>
      <w:pPr>
        <w:pStyle w:val="ListParagraph"/>
        <w:numPr>
          <w:ilvl w:val="0"/>
          <w:numId w:val="1"/>
        </w:numPr>
        <w:tabs>
          <w:tab w:pos="1412" w:val="left" w:leader="none"/>
        </w:tabs>
        <w:spacing w:line="244" w:lineRule="auto" w:before="0" w:after="0"/>
        <w:ind w:left="405" w:right="416" w:firstLine="737"/>
        <w:jc w:val="left"/>
        <w:rPr>
          <w:color w:val="363638"/>
          <w:sz w:val="24"/>
        </w:rPr>
      </w:pPr>
      <w:r>
        <w:rPr>
          <w:color w:val="4F4F4F"/>
          <w:spacing w:val="4"/>
          <w:sz w:val="24"/>
        </w:rPr>
        <w:t>I</w:t>
      </w:r>
      <w:r>
        <w:rPr>
          <w:color w:val="363638"/>
          <w:spacing w:val="4"/>
          <w:sz w:val="24"/>
        </w:rPr>
        <w:t>n </w:t>
      </w:r>
      <w:r>
        <w:rPr>
          <w:color w:val="363638"/>
          <w:sz w:val="24"/>
        </w:rPr>
        <w:t>addition</w:t>
      </w:r>
      <w:r>
        <w:rPr>
          <w:color w:val="676767"/>
          <w:sz w:val="24"/>
        </w:rPr>
        <w:t>, </w:t>
      </w:r>
      <w:r>
        <w:rPr>
          <w:color w:val="363638"/>
          <w:sz w:val="24"/>
        </w:rPr>
        <w:t>the 2011 substan</w:t>
      </w:r>
      <w:r>
        <w:rPr>
          <w:color w:val="4F4F4F"/>
          <w:sz w:val="24"/>
        </w:rPr>
        <w:t>ti</w:t>
      </w:r>
      <w:r>
        <w:rPr>
          <w:color w:val="363638"/>
          <w:sz w:val="24"/>
        </w:rPr>
        <w:t>ally complete determination on the original project application expired 180 days after the certification of the EIR </w:t>
      </w:r>
      <w:r>
        <w:rPr>
          <w:color w:val="363638"/>
          <w:spacing w:val="-3"/>
          <w:sz w:val="24"/>
        </w:rPr>
        <w:t>i</w:t>
      </w:r>
      <w:r>
        <w:rPr>
          <w:color w:val="4F4F4F"/>
          <w:spacing w:val="-3"/>
          <w:sz w:val="24"/>
        </w:rPr>
        <w:t>n </w:t>
      </w:r>
      <w:r>
        <w:rPr>
          <w:color w:val="363638"/>
          <w:sz w:val="24"/>
        </w:rPr>
        <w:t>2013 pursuant to the Permit Streamlining Act, </w:t>
      </w:r>
      <w:r>
        <w:rPr>
          <w:color w:val="363638"/>
          <w:spacing w:val="-3"/>
          <w:sz w:val="24"/>
        </w:rPr>
        <w:t>Gov</w:t>
      </w:r>
      <w:r>
        <w:rPr>
          <w:color w:val="4F4F4F"/>
          <w:spacing w:val="-3"/>
          <w:sz w:val="24"/>
        </w:rPr>
        <w:t>. </w:t>
      </w:r>
      <w:r>
        <w:rPr>
          <w:color w:val="363638"/>
          <w:sz w:val="24"/>
        </w:rPr>
        <w:t>Code sections 65950(a) and 65957</w:t>
      </w:r>
      <w:r>
        <w:rPr>
          <w:color w:val="4F4F4F"/>
          <w:sz w:val="24"/>
        </w:rPr>
        <w:t>, </w:t>
      </w:r>
      <w:r>
        <w:rPr>
          <w:color w:val="363638"/>
          <w:sz w:val="24"/>
        </w:rPr>
        <w:t>a dead</w:t>
      </w:r>
      <w:r>
        <w:rPr>
          <w:color w:val="4F4F4F"/>
          <w:sz w:val="24"/>
        </w:rPr>
        <w:t>l</w:t>
      </w:r>
      <w:r>
        <w:rPr>
          <w:color w:val="363638"/>
          <w:sz w:val="24"/>
        </w:rPr>
        <w:t>ine that is not subject to waiver or continuance by Act of the Legislature. Upon resubmittal of the application by the applicant </w:t>
      </w:r>
      <w:r>
        <w:rPr>
          <w:color w:val="4F4F4F"/>
          <w:sz w:val="24"/>
        </w:rPr>
        <w:t>i</w:t>
      </w:r>
      <w:r>
        <w:rPr>
          <w:color w:val="363638"/>
          <w:sz w:val="24"/>
        </w:rPr>
        <w:t>n </w:t>
      </w:r>
      <w:r>
        <w:rPr>
          <w:color w:val="363638"/>
          <w:spacing w:val="-4"/>
          <w:sz w:val="24"/>
        </w:rPr>
        <w:t>2018</w:t>
      </w:r>
      <w:r>
        <w:rPr>
          <w:color w:val="4F4F4F"/>
          <w:spacing w:val="-4"/>
          <w:sz w:val="24"/>
        </w:rPr>
        <w:t>, </w:t>
      </w:r>
      <w:r>
        <w:rPr>
          <w:color w:val="363638"/>
          <w:sz w:val="24"/>
        </w:rPr>
        <w:t>a new 30-day substantially complete determination occurred under the Permit Streamlining Act</w:t>
      </w:r>
      <w:r>
        <w:rPr>
          <w:color w:val="4F4F4F"/>
          <w:sz w:val="24"/>
        </w:rPr>
        <w:t>, </w:t>
      </w:r>
      <w:r>
        <w:rPr>
          <w:color w:val="363638"/>
          <w:sz w:val="24"/>
        </w:rPr>
        <w:t>Gov. Code section 65943(a). At that</w:t>
      </w:r>
      <w:r>
        <w:rPr>
          <w:color w:val="363638"/>
          <w:spacing w:val="53"/>
          <w:sz w:val="24"/>
        </w:rPr>
        <w:t> </w:t>
      </w:r>
      <w:r>
        <w:rPr>
          <w:color w:val="363638"/>
          <w:sz w:val="24"/>
        </w:rPr>
        <w:t>time</w:t>
      </w:r>
      <w:r>
        <w:rPr>
          <w:color w:val="4F4F4F"/>
          <w:sz w:val="24"/>
        </w:rPr>
        <w:t>,</w:t>
      </w:r>
    </w:p>
    <w:p>
      <w:pPr>
        <w:spacing w:line="242" w:lineRule="auto" w:before="1"/>
        <w:ind w:left="402" w:right="539" w:firstLine="3"/>
        <w:jc w:val="left"/>
        <w:rPr>
          <w:rFonts w:ascii="Arial"/>
          <w:sz w:val="24"/>
        </w:rPr>
      </w:pPr>
      <w:r>
        <w:rPr>
          <w:rFonts w:ascii="Arial"/>
          <w:color w:val="363638"/>
          <w:sz w:val="24"/>
        </w:rPr>
        <w:t>(i) pursuant to Resolution no</w:t>
      </w:r>
      <w:r>
        <w:rPr>
          <w:rFonts w:ascii="Arial"/>
          <w:color w:val="4F4F4F"/>
          <w:sz w:val="24"/>
        </w:rPr>
        <w:t>. </w:t>
      </w:r>
      <w:r>
        <w:rPr>
          <w:rFonts w:ascii="Arial"/>
          <w:color w:val="363638"/>
          <w:sz w:val="24"/>
        </w:rPr>
        <w:t>2015-51</w:t>
      </w:r>
      <w:r>
        <w:rPr>
          <w:rFonts w:ascii="Arial"/>
          <w:color w:val="4F4F4F"/>
          <w:sz w:val="24"/>
        </w:rPr>
        <w:t>, </w:t>
      </w:r>
      <w:r>
        <w:rPr>
          <w:rFonts w:ascii="Arial"/>
          <w:color w:val="363638"/>
          <w:sz w:val="24"/>
        </w:rPr>
        <w:t>a General Plan land use designation of Low Density S</w:t>
      </w:r>
      <w:r>
        <w:rPr>
          <w:rFonts w:ascii="Arial"/>
          <w:color w:val="4F4F4F"/>
          <w:sz w:val="24"/>
        </w:rPr>
        <w:t>i</w:t>
      </w:r>
      <w:r>
        <w:rPr>
          <w:rFonts w:ascii="Arial"/>
          <w:color w:val="363638"/>
          <w:sz w:val="24"/>
        </w:rPr>
        <w:t>ngle family Residential (SFR-LD)</w:t>
      </w:r>
      <w:r>
        <w:rPr>
          <w:rFonts w:ascii="Arial"/>
          <w:color w:val="4F4F4F"/>
          <w:sz w:val="24"/>
        </w:rPr>
        <w:t>, </w:t>
      </w:r>
      <w:r>
        <w:rPr>
          <w:rFonts w:ascii="Arial"/>
          <w:color w:val="363638"/>
          <w:sz w:val="24"/>
        </w:rPr>
        <w:t>and (ii) pursuant to Ordinance no. 668</w:t>
      </w:r>
      <w:r>
        <w:rPr>
          <w:rFonts w:ascii="Arial"/>
          <w:color w:val="4F4F4F"/>
          <w:sz w:val="24"/>
        </w:rPr>
        <w:t>,</w:t>
      </w:r>
      <w:r>
        <w:rPr>
          <w:rFonts w:ascii="Arial"/>
          <w:color w:val="363638"/>
          <w:sz w:val="24"/>
        </w:rPr>
        <w:t> Single Family Residential District-65 zoning</w:t>
      </w:r>
      <w:r>
        <w:rPr>
          <w:rFonts w:ascii="Arial"/>
          <w:color w:val="4F4F4F"/>
          <w:sz w:val="24"/>
        </w:rPr>
        <w:t>, </w:t>
      </w:r>
      <w:r>
        <w:rPr>
          <w:rFonts w:ascii="Arial"/>
          <w:color w:val="363638"/>
          <w:sz w:val="24"/>
        </w:rPr>
        <w:t>codified in LMC 6-7121</w:t>
      </w:r>
      <w:r>
        <w:rPr>
          <w:rFonts w:ascii="Arial"/>
          <w:color w:val="4F4F4F"/>
          <w:sz w:val="24"/>
        </w:rPr>
        <w:t>, </w:t>
      </w:r>
      <w:r>
        <w:rPr>
          <w:rFonts w:ascii="Arial"/>
          <w:color w:val="363638"/>
          <w:sz w:val="24"/>
        </w:rPr>
        <w:t>were applicable to the site</w:t>
      </w:r>
      <w:r>
        <w:rPr>
          <w:rFonts w:ascii="Arial"/>
          <w:color w:val="676767"/>
          <w:sz w:val="24"/>
        </w:rPr>
        <w:t>. </w:t>
      </w:r>
      <w:r>
        <w:rPr>
          <w:rFonts w:ascii="Arial"/>
          <w:color w:val="363638"/>
          <w:sz w:val="24"/>
        </w:rPr>
        <w:t>General plan and zoning amendments were not sought by the applicant and would be required fo</w:t>
      </w:r>
      <w:r>
        <w:rPr>
          <w:rFonts w:ascii="Arial"/>
          <w:color w:val="4F4F4F"/>
          <w:sz w:val="24"/>
        </w:rPr>
        <w:t>r </w:t>
      </w:r>
      <w:r>
        <w:rPr>
          <w:rFonts w:ascii="Arial"/>
          <w:color w:val="363638"/>
          <w:sz w:val="24"/>
        </w:rPr>
        <w:t>consideration of this application</w:t>
      </w:r>
      <w:r>
        <w:rPr>
          <w:rFonts w:ascii="Arial"/>
          <w:color w:val="4F4F4F"/>
          <w:sz w:val="24"/>
        </w:rPr>
        <w:t>.</w:t>
      </w:r>
    </w:p>
    <w:p>
      <w:pPr>
        <w:pStyle w:val="BodyText"/>
        <w:spacing w:before="10"/>
        <w:rPr>
          <w:rFonts w:ascii="Arial"/>
          <w:sz w:val="24"/>
        </w:rPr>
      </w:pPr>
    </w:p>
    <w:p>
      <w:pPr>
        <w:spacing w:line="242" w:lineRule="auto" w:before="0"/>
        <w:ind w:left="1137" w:right="755" w:hanging="368"/>
        <w:jc w:val="left"/>
        <w:rPr>
          <w:rFonts w:ascii="Arial"/>
          <w:sz w:val="24"/>
        </w:rPr>
      </w:pPr>
      <w:r>
        <w:rPr>
          <w:rFonts w:ascii="Arial"/>
          <w:color w:val="363638"/>
          <w:sz w:val="24"/>
        </w:rPr>
        <w:t>FURTHER DISCUSSION ON FAILURE OF THE APPLICATION WITH THE 2015 </w:t>
      </w:r>
      <w:r>
        <w:rPr>
          <w:rFonts w:ascii="Arial"/>
          <w:color w:val="363638"/>
          <w:sz w:val="24"/>
          <w:u w:val="thick" w:color="363638"/>
        </w:rPr>
        <w:t>SFR-LD GENERA</w:t>
      </w:r>
      <w:r>
        <w:rPr>
          <w:rFonts w:ascii="Arial"/>
          <w:color w:val="4F4F4F"/>
          <w:sz w:val="24"/>
          <w:u w:val="thick" w:color="363638"/>
        </w:rPr>
        <w:t>L </w:t>
      </w:r>
      <w:r>
        <w:rPr>
          <w:rFonts w:ascii="Arial"/>
          <w:color w:val="363638"/>
          <w:sz w:val="24"/>
          <w:u w:val="thick" w:color="363638"/>
        </w:rPr>
        <w:t>PLAN LAND USE DESIGNATION AND R-65 ZONING</w:t>
      </w:r>
    </w:p>
    <w:p>
      <w:pPr>
        <w:pStyle w:val="BodyText"/>
        <w:spacing w:before="5"/>
        <w:rPr>
          <w:rFonts w:ascii="Arial"/>
          <w:sz w:val="25"/>
        </w:rPr>
      </w:pPr>
    </w:p>
    <w:p>
      <w:pPr>
        <w:spacing w:before="0"/>
        <w:ind w:left="1140" w:right="0" w:firstLine="0"/>
        <w:jc w:val="left"/>
        <w:rPr>
          <w:rFonts w:ascii="Arial"/>
          <w:sz w:val="24"/>
        </w:rPr>
      </w:pPr>
      <w:r>
        <w:rPr>
          <w:rFonts w:ascii="Arial"/>
          <w:color w:val="363638"/>
          <w:sz w:val="24"/>
        </w:rPr>
        <w:t>We will repeat legal authorities previously cited to the city council:</w:t>
      </w:r>
    </w:p>
    <w:p>
      <w:pPr>
        <w:pStyle w:val="BodyText"/>
        <w:rPr>
          <w:rFonts w:ascii="Arial"/>
          <w:sz w:val="17"/>
        </w:rPr>
      </w:pPr>
    </w:p>
    <w:p>
      <w:pPr>
        <w:spacing w:before="93"/>
        <w:ind w:left="1136" w:right="0" w:firstLine="0"/>
        <w:jc w:val="left"/>
        <w:rPr>
          <w:rFonts w:ascii="Arial"/>
          <w:sz w:val="24"/>
        </w:rPr>
      </w:pPr>
      <w:r>
        <w:rPr>
          <w:rFonts w:ascii="Arial"/>
          <w:i/>
          <w:color w:val="363638"/>
          <w:sz w:val="24"/>
          <w:u w:val="thick" w:color="363638"/>
        </w:rPr>
        <w:t>Citizens of Goleta Valley v. Board of Supervisors </w:t>
      </w:r>
      <w:r>
        <w:rPr>
          <w:rFonts w:ascii="Arial"/>
          <w:color w:val="363638"/>
          <w:sz w:val="24"/>
          <w:u w:val="thick" w:color="363638"/>
        </w:rPr>
        <w:t>(1990) 52 Cal.3d 553</w:t>
      </w:r>
      <w:r>
        <w:rPr>
          <w:rFonts w:ascii="Arial"/>
          <w:color w:val="4F4F4F"/>
          <w:sz w:val="24"/>
          <w:u w:val="thick" w:color="363638"/>
        </w:rPr>
        <w:t>, </w:t>
      </w:r>
      <w:r>
        <w:rPr>
          <w:rFonts w:ascii="Arial"/>
          <w:color w:val="363638"/>
          <w:sz w:val="24"/>
          <w:u w:val="thick" w:color="363638"/>
        </w:rPr>
        <w:t>570:</w:t>
      </w:r>
    </w:p>
    <w:p>
      <w:pPr>
        <w:pStyle w:val="BodyText"/>
        <w:spacing w:before="8"/>
        <w:rPr>
          <w:rFonts w:ascii="Arial"/>
          <w:sz w:val="24"/>
        </w:rPr>
      </w:pPr>
    </w:p>
    <w:p>
      <w:pPr>
        <w:spacing w:line="249" w:lineRule="auto" w:before="0"/>
        <w:ind w:left="1135" w:right="1026" w:firstLine="2"/>
        <w:jc w:val="left"/>
        <w:rPr>
          <w:rFonts w:ascii="Arial"/>
          <w:b/>
          <w:i/>
          <w:sz w:val="23"/>
        </w:rPr>
      </w:pPr>
      <w:r>
        <w:rPr>
          <w:rFonts w:ascii="Arial"/>
          <w:i/>
          <w:color w:val="363638"/>
          <w:w w:val="105"/>
          <w:sz w:val="24"/>
        </w:rPr>
        <w:t>[T]he propriety of virtually any local decision affecting land use and </w:t>
      </w:r>
      <w:r>
        <w:rPr>
          <w:rFonts w:ascii="Arial"/>
          <w:i/>
          <w:color w:val="363638"/>
          <w:w w:val="105"/>
          <w:sz w:val="24"/>
        </w:rPr>
        <w:t>development </w:t>
      </w:r>
      <w:r>
        <w:rPr>
          <w:rFonts w:ascii="Arial"/>
          <w:b/>
          <w:i/>
          <w:color w:val="363638"/>
          <w:w w:val="105"/>
          <w:sz w:val="23"/>
        </w:rPr>
        <w:t>depends upon consistency with the applicable general </w:t>
      </w:r>
      <w:r>
        <w:rPr>
          <w:rFonts w:ascii="Arial"/>
          <w:b/>
          <w:i/>
          <w:color w:val="363638"/>
          <w:w w:val="105"/>
          <w:sz w:val="23"/>
        </w:rPr>
        <w:t>plan and its elements.</w:t>
      </w:r>
    </w:p>
    <w:p>
      <w:pPr>
        <w:pStyle w:val="BodyText"/>
        <w:spacing w:before="9"/>
        <w:rPr>
          <w:rFonts w:ascii="Arial"/>
          <w:b/>
          <w:i/>
          <w:sz w:val="16"/>
        </w:rPr>
      </w:pPr>
    </w:p>
    <w:p>
      <w:pPr>
        <w:spacing w:line="242" w:lineRule="auto" w:before="93"/>
        <w:ind w:left="1131" w:right="1026" w:firstLine="1"/>
        <w:jc w:val="left"/>
        <w:rPr>
          <w:rFonts w:ascii="Arial"/>
          <w:sz w:val="24"/>
        </w:rPr>
      </w:pPr>
      <w:r>
        <w:rPr>
          <w:rFonts w:ascii="Arial"/>
          <w:i/>
          <w:color w:val="363638"/>
          <w:sz w:val="24"/>
          <w:u w:val="thick" w:color="363638"/>
        </w:rPr>
        <w:t>Land Waste Management v. Contra Costa Board of Supervisors </w:t>
      </w:r>
      <w:r>
        <w:rPr>
          <w:rFonts w:ascii="Arial"/>
          <w:color w:val="363638"/>
          <w:sz w:val="24"/>
          <w:u w:val="thick" w:color="363638"/>
        </w:rPr>
        <w:t>(1990) 222</w:t>
      </w:r>
      <w:r>
        <w:rPr>
          <w:rFonts w:ascii="Arial"/>
          <w:color w:val="363638"/>
          <w:sz w:val="24"/>
        </w:rPr>
        <w:t> </w:t>
      </w:r>
      <w:r>
        <w:rPr>
          <w:rFonts w:ascii="Arial"/>
          <w:color w:val="363638"/>
          <w:sz w:val="24"/>
          <w:u w:val="thick" w:color="363638"/>
        </w:rPr>
        <w:t>Cal. App</w:t>
      </w:r>
      <w:r>
        <w:rPr>
          <w:rFonts w:ascii="Arial"/>
          <w:color w:val="4F4F4F"/>
          <w:sz w:val="24"/>
          <w:u w:val="thick" w:color="363638"/>
        </w:rPr>
        <w:t>.</w:t>
      </w:r>
      <w:r>
        <w:rPr>
          <w:rFonts w:ascii="Arial"/>
          <w:color w:val="363638"/>
          <w:sz w:val="24"/>
          <w:u w:val="thick" w:color="363638"/>
        </w:rPr>
        <w:t>3d 950, 957</w:t>
      </w:r>
      <w:r>
        <w:rPr>
          <w:rFonts w:ascii="Arial"/>
          <w:color w:val="4F4F4F"/>
          <w:sz w:val="24"/>
          <w:u w:val="thick" w:color="363638"/>
        </w:rPr>
        <w:t>-</w:t>
      </w:r>
      <w:r>
        <w:rPr>
          <w:rFonts w:ascii="Arial"/>
          <w:color w:val="363638"/>
          <w:sz w:val="24"/>
          <w:u w:val="thick" w:color="363638"/>
        </w:rPr>
        <w:t>958:</w:t>
      </w:r>
    </w:p>
    <w:p>
      <w:pPr>
        <w:pStyle w:val="BodyText"/>
        <w:spacing w:before="3"/>
        <w:rPr>
          <w:rFonts w:ascii="Arial"/>
          <w:sz w:val="23"/>
        </w:rPr>
      </w:pPr>
    </w:p>
    <w:p>
      <w:pPr>
        <w:spacing w:line="249" w:lineRule="auto" w:before="0"/>
        <w:ind w:left="1128" w:right="1026" w:firstLine="9"/>
        <w:jc w:val="left"/>
        <w:rPr>
          <w:rFonts w:ascii="Arial"/>
          <w:b/>
          <w:i/>
          <w:sz w:val="23"/>
        </w:rPr>
      </w:pPr>
      <w:r>
        <w:rPr>
          <w:rFonts w:ascii="Arial"/>
          <w:i/>
          <w:color w:val="363638"/>
          <w:w w:val="105"/>
          <w:sz w:val="24"/>
        </w:rPr>
        <w:t>Thus</w:t>
      </w:r>
      <w:r>
        <w:rPr>
          <w:rFonts w:ascii="Arial"/>
          <w:i/>
          <w:color w:val="363638"/>
          <w:spacing w:val="-48"/>
          <w:w w:val="105"/>
          <w:sz w:val="24"/>
        </w:rPr>
        <w:t> </w:t>
      </w:r>
      <w:r>
        <w:rPr>
          <w:rFonts w:ascii="Arial"/>
          <w:i/>
          <w:color w:val="4F4F4F"/>
          <w:w w:val="105"/>
          <w:sz w:val="24"/>
        </w:rPr>
        <w:t>,</w:t>
      </w:r>
      <w:r>
        <w:rPr>
          <w:rFonts w:ascii="Arial"/>
          <w:i/>
          <w:color w:val="4F4F4F"/>
          <w:spacing w:val="-16"/>
          <w:w w:val="105"/>
          <w:sz w:val="24"/>
        </w:rPr>
        <w:t> </w:t>
      </w:r>
      <w:r>
        <w:rPr>
          <w:rFonts w:ascii="Arial"/>
          <w:i/>
          <w:color w:val="363638"/>
          <w:w w:val="105"/>
          <w:sz w:val="24"/>
        </w:rPr>
        <w:t>local</w:t>
      </w:r>
      <w:r>
        <w:rPr>
          <w:rFonts w:ascii="Arial"/>
          <w:i/>
          <w:color w:val="363638"/>
          <w:spacing w:val="-13"/>
          <w:w w:val="105"/>
          <w:sz w:val="24"/>
        </w:rPr>
        <w:t> </w:t>
      </w:r>
      <w:r>
        <w:rPr>
          <w:rFonts w:ascii="Arial"/>
          <w:i/>
          <w:color w:val="363638"/>
          <w:w w:val="105"/>
          <w:sz w:val="24"/>
        </w:rPr>
        <w:t>government</w:t>
      </w:r>
      <w:r>
        <w:rPr>
          <w:rFonts w:ascii="Arial"/>
          <w:i/>
          <w:color w:val="363638"/>
          <w:spacing w:val="-7"/>
          <w:w w:val="105"/>
          <w:sz w:val="24"/>
        </w:rPr>
        <w:t> </w:t>
      </w:r>
      <w:r>
        <w:rPr>
          <w:rFonts w:ascii="Arial"/>
          <w:i/>
          <w:color w:val="363638"/>
          <w:w w:val="105"/>
          <w:sz w:val="24"/>
        </w:rPr>
        <w:t>entities</w:t>
      </w:r>
      <w:r>
        <w:rPr>
          <w:rFonts w:ascii="Arial"/>
          <w:i/>
          <w:color w:val="363638"/>
          <w:spacing w:val="-13"/>
          <w:w w:val="105"/>
          <w:sz w:val="24"/>
        </w:rPr>
        <w:t> </w:t>
      </w:r>
      <w:r>
        <w:rPr>
          <w:rFonts w:ascii="Arial"/>
          <w:b/>
          <w:i/>
          <w:color w:val="363638"/>
          <w:w w:val="105"/>
          <w:sz w:val="23"/>
        </w:rPr>
        <w:t>cannot</w:t>
      </w:r>
      <w:r>
        <w:rPr>
          <w:rFonts w:ascii="Arial"/>
          <w:b/>
          <w:i/>
          <w:color w:val="363638"/>
          <w:spacing w:val="-7"/>
          <w:w w:val="105"/>
          <w:sz w:val="23"/>
        </w:rPr>
        <w:t> </w:t>
      </w:r>
      <w:r>
        <w:rPr>
          <w:rFonts w:ascii="Arial"/>
          <w:b/>
          <w:i/>
          <w:color w:val="363638"/>
          <w:w w:val="105"/>
          <w:sz w:val="23"/>
        </w:rPr>
        <w:t>issue</w:t>
      </w:r>
      <w:r>
        <w:rPr>
          <w:rFonts w:ascii="Arial"/>
          <w:b/>
          <w:i/>
          <w:color w:val="363638"/>
          <w:spacing w:val="-15"/>
          <w:w w:val="105"/>
          <w:sz w:val="23"/>
        </w:rPr>
        <w:t> </w:t>
      </w:r>
      <w:r>
        <w:rPr>
          <w:rFonts w:ascii="Arial"/>
          <w:b/>
          <w:i/>
          <w:color w:val="363638"/>
          <w:w w:val="105"/>
          <w:sz w:val="23"/>
        </w:rPr>
        <w:t>land-use</w:t>
      </w:r>
      <w:r>
        <w:rPr>
          <w:rFonts w:ascii="Arial"/>
          <w:b/>
          <w:i/>
          <w:color w:val="363638"/>
          <w:spacing w:val="-6"/>
          <w:w w:val="105"/>
          <w:sz w:val="23"/>
        </w:rPr>
        <w:t> </w:t>
      </w:r>
      <w:r>
        <w:rPr>
          <w:rFonts w:ascii="Arial"/>
          <w:b/>
          <w:i/>
          <w:color w:val="363638"/>
          <w:w w:val="105"/>
          <w:sz w:val="23"/>
        </w:rPr>
        <w:t>permits</w:t>
      </w:r>
      <w:r>
        <w:rPr>
          <w:rFonts w:ascii="Arial"/>
          <w:b/>
          <w:i/>
          <w:color w:val="363638"/>
          <w:spacing w:val="-10"/>
          <w:w w:val="105"/>
          <w:sz w:val="23"/>
        </w:rPr>
        <w:t> </w:t>
      </w:r>
      <w:r>
        <w:rPr>
          <w:rFonts w:ascii="Arial"/>
          <w:b/>
          <w:i/>
          <w:color w:val="363638"/>
          <w:w w:val="105"/>
          <w:sz w:val="23"/>
        </w:rPr>
        <w:t>that</w:t>
      </w:r>
      <w:r>
        <w:rPr>
          <w:rFonts w:ascii="Arial"/>
          <w:b/>
          <w:i/>
          <w:color w:val="363638"/>
          <w:spacing w:val="-18"/>
          <w:w w:val="105"/>
          <w:sz w:val="23"/>
        </w:rPr>
        <w:t> </w:t>
      </w:r>
      <w:r>
        <w:rPr>
          <w:rFonts w:ascii="Arial"/>
          <w:b/>
          <w:i/>
          <w:color w:val="363638"/>
          <w:w w:val="105"/>
          <w:sz w:val="23"/>
        </w:rPr>
        <w:t>are </w:t>
      </w:r>
      <w:r>
        <w:rPr>
          <w:rFonts w:ascii="Arial"/>
          <w:b/>
          <w:i/>
          <w:color w:val="363638"/>
          <w:w w:val="105"/>
          <w:sz w:val="23"/>
        </w:rPr>
        <w:t>inconsistent with controlling land-use legislation, as embodied in zoning ordinances and general plans. </w:t>
      </w:r>
      <w:r>
        <w:rPr>
          <w:rFonts w:ascii="Arial"/>
          <w:color w:val="363638"/>
          <w:w w:val="105"/>
          <w:sz w:val="23"/>
        </w:rPr>
        <w:t>... </w:t>
      </w:r>
      <w:r>
        <w:rPr>
          <w:rFonts w:ascii="Arial"/>
          <w:i/>
          <w:color w:val="363638"/>
          <w:w w:val="105"/>
          <w:sz w:val="24"/>
        </w:rPr>
        <w:t>Issuance of </w:t>
      </w:r>
      <w:r>
        <w:rPr>
          <w:rFonts w:ascii="Arial"/>
          <w:color w:val="363638"/>
          <w:w w:val="105"/>
          <w:sz w:val="22"/>
        </w:rPr>
        <w:t>a </w:t>
      </w:r>
      <w:r>
        <w:rPr>
          <w:rFonts w:ascii="Arial"/>
          <w:i/>
          <w:color w:val="363638"/>
          <w:w w:val="105"/>
          <w:sz w:val="24"/>
        </w:rPr>
        <w:t>permit </w:t>
      </w:r>
      <w:r>
        <w:rPr>
          <w:rFonts w:ascii="Arial"/>
          <w:b/>
          <w:i/>
          <w:color w:val="363638"/>
          <w:w w:val="105"/>
          <w:sz w:val="23"/>
        </w:rPr>
        <w:t>inconsistent with zoning ordinances or the general plan may be set </w:t>
      </w:r>
      <w:r>
        <w:rPr>
          <w:rFonts w:ascii="Arial"/>
          <w:b/>
          <w:i/>
          <w:color w:val="363638"/>
          <w:w w:val="105"/>
          <w:sz w:val="23"/>
        </w:rPr>
        <w:t>aside and invalidated as ultra</w:t>
      </w:r>
      <w:r>
        <w:rPr>
          <w:rFonts w:ascii="Arial"/>
          <w:b/>
          <w:i/>
          <w:color w:val="363638"/>
          <w:spacing w:val="-33"/>
          <w:w w:val="105"/>
          <w:sz w:val="23"/>
        </w:rPr>
        <w:t> </w:t>
      </w:r>
      <w:r>
        <w:rPr>
          <w:rFonts w:ascii="Arial"/>
          <w:b/>
          <w:i/>
          <w:color w:val="363638"/>
          <w:w w:val="105"/>
          <w:sz w:val="23"/>
        </w:rPr>
        <w:t>vires.</w:t>
      </w:r>
    </w:p>
    <w:p>
      <w:pPr>
        <w:spacing w:after="0" w:line="249" w:lineRule="auto"/>
        <w:jc w:val="left"/>
        <w:rPr>
          <w:rFonts w:ascii="Arial"/>
          <w:sz w:val="23"/>
        </w:rPr>
        <w:sectPr>
          <w:pgSz w:w="12240" w:h="15840"/>
          <w:pgMar w:header="0" w:footer="871" w:top="1300" w:bottom="1060" w:left="960" w:right="960"/>
        </w:sectPr>
      </w:pPr>
    </w:p>
    <w:p>
      <w:pPr>
        <w:pStyle w:val="Heading1"/>
        <w:spacing w:line="247" w:lineRule="auto" w:before="71"/>
        <w:ind w:left="409" w:firstLine="733"/>
      </w:pPr>
      <w:r>
        <w:rPr>
          <w:color w:val="181818"/>
        </w:rPr>
        <w:t>The </w:t>
      </w:r>
      <w:r>
        <w:rPr>
          <w:color w:val="181818"/>
          <w:spacing w:val="-4"/>
        </w:rPr>
        <w:t>Ter</w:t>
      </w:r>
      <w:r>
        <w:rPr>
          <w:color w:val="343436"/>
          <w:spacing w:val="-4"/>
        </w:rPr>
        <w:t>r</w:t>
      </w:r>
      <w:r>
        <w:rPr>
          <w:color w:val="181818"/>
          <w:spacing w:val="-4"/>
        </w:rPr>
        <w:t>aces </w:t>
      </w:r>
      <w:r>
        <w:rPr>
          <w:color w:val="181818"/>
        </w:rPr>
        <w:t>application fails to comply with the General Plan designation for the property of Low Density Single Family Residential (SFR-LD)  enacted August  10, 2015 by Resolution no. 2015-51 and Single Family </w:t>
      </w:r>
      <w:r>
        <w:rPr>
          <w:color w:val="343436"/>
        </w:rPr>
        <w:t>r</w:t>
      </w:r>
      <w:r>
        <w:rPr>
          <w:color w:val="181818"/>
        </w:rPr>
        <w:t>esidentialDistrict-65 (R-65) adopted July 23, 2018</w:t>
      </w:r>
      <w:r>
        <w:rPr>
          <w:color w:val="343436"/>
        </w:rPr>
        <w:t>, </w:t>
      </w:r>
      <w:r>
        <w:rPr>
          <w:color w:val="181818"/>
        </w:rPr>
        <w:t>and is deficient for failure to seek a General Plan amendment and zoning change.</w:t>
      </w:r>
    </w:p>
    <w:p>
      <w:pPr>
        <w:pStyle w:val="BodyText"/>
        <w:spacing w:before="8"/>
        <w:rPr>
          <w:rFonts w:ascii="Arial"/>
          <w:sz w:val="23"/>
        </w:rPr>
      </w:pPr>
    </w:p>
    <w:p>
      <w:pPr>
        <w:spacing w:line="244" w:lineRule="auto" w:before="1"/>
        <w:ind w:left="407" w:right="539" w:firstLine="735"/>
        <w:jc w:val="left"/>
        <w:rPr>
          <w:rFonts w:ascii="Arial"/>
          <w:sz w:val="24"/>
        </w:rPr>
      </w:pPr>
      <w:r>
        <w:rPr>
          <w:rFonts w:ascii="Arial"/>
          <w:color w:val="181818"/>
          <w:sz w:val="24"/>
        </w:rPr>
        <w:t>The entirety of the position of staff and the developer is that a </w:t>
      </w:r>
      <w:r>
        <w:rPr>
          <w:rFonts w:ascii="Arial"/>
          <w:color w:val="343436"/>
          <w:sz w:val="24"/>
        </w:rPr>
        <w:t>'</w:t>
      </w:r>
      <w:r>
        <w:rPr>
          <w:rFonts w:ascii="Arial"/>
          <w:color w:val="181818"/>
          <w:sz w:val="24"/>
        </w:rPr>
        <w:t>substantially complete application</w:t>
      </w:r>
      <w:r>
        <w:rPr>
          <w:rFonts w:ascii="Arial"/>
          <w:color w:val="343436"/>
          <w:sz w:val="24"/>
        </w:rPr>
        <w:t>' </w:t>
      </w:r>
      <w:r>
        <w:rPr>
          <w:rFonts w:ascii="Arial"/>
          <w:color w:val="181818"/>
          <w:sz w:val="24"/>
        </w:rPr>
        <w:t>determination was made on the original application in 2011 under the Permit Streamlining Act. That is true, but the effect of the certification of the EIR in 2013 and mandatory 180-day deadline under the Permit Streamlining Act has been utterly ignored.</w:t>
      </w:r>
    </w:p>
    <w:p>
      <w:pPr>
        <w:pStyle w:val="BodyText"/>
        <w:spacing w:before="6"/>
        <w:rPr>
          <w:rFonts w:ascii="Arial"/>
          <w:sz w:val="24"/>
        </w:rPr>
      </w:pPr>
    </w:p>
    <w:p>
      <w:pPr>
        <w:spacing w:line="244" w:lineRule="auto" w:before="0"/>
        <w:ind w:left="408" w:right="539" w:firstLine="735"/>
        <w:jc w:val="left"/>
        <w:rPr>
          <w:rFonts w:ascii="Arial"/>
          <w:sz w:val="24"/>
        </w:rPr>
      </w:pPr>
      <w:r>
        <w:rPr>
          <w:rFonts w:ascii="Arial"/>
          <w:color w:val="343436"/>
          <w:sz w:val="24"/>
        </w:rPr>
        <w:t>Under the Permit Streamlining Act</w:t>
      </w:r>
      <w:r>
        <w:rPr>
          <w:rFonts w:ascii="Arial"/>
          <w:color w:val="565656"/>
          <w:sz w:val="24"/>
        </w:rPr>
        <w:t>, </w:t>
      </w:r>
      <w:r>
        <w:rPr>
          <w:rFonts w:ascii="Arial"/>
          <w:color w:val="343436"/>
          <w:sz w:val="24"/>
        </w:rPr>
        <w:t>certification  of the original project EIR occurred on August </w:t>
      </w:r>
      <w:r>
        <w:rPr>
          <w:rFonts w:ascii="Arial"/>
          <w:color w:val="343436"/>
          <w:spacing w:val="-5"/>
          <w:sz w:val="24"/>
        </w:rPr>
        <w:t>10</w:t>
      </w:r>
      <w:r>
        <w:rPr>
          <w:rFonts w:ascii="Arial"/>
          <w:color w:val="565656"/>
          <w:spacing w:val="-5"/>
          <w:sz w:val="24"/>
        </w:rPr>
        <w:t>, </w:t>
      </w:r>
      <w:r>
        <w:rPr>
          <w:rFonts w:ascii="Arial"/>
          <w:color w:val="343436"/>
          <w:spacing w:val="3"/>
          <w:sz w:val="24"/>
        </w:rPr>
        <w:t>2013</w:t>
      </w:r>
      <w:r>
        <w:rPr>
          <w:rFonts w:ascii="Arial"/>
          <w:color w:val="565656"/>
          <w:spacing w:val="3"/>
          <w:sz w:val="24"/>
        </w:rPr>
        <w:t>. </w:t>
      </w:r>
      <w:r>
        <w:rPr>
          <w:rFonts w:ascii="Arial"/>
          <w:color w:val="343436"/>
          <w:sz w:val="24"/>
        </w:rPr>
        <w:t>Under </w:t>
      </w:r>
      <w:r>
        <w:rPr>
          <w:rFonts w:ascii="Arial"/>
          <w:color w:val="343436"/>
          <w:spacing w:val="-4"/>
          <w:sz w:val="24"/>
        </w:rPr>
        <w:t>Gov</w:t>
      </w:r>
      <w:r>
        <w:rPr>
          <w:rFonts w:ascii="Arial"/>
          <w:color w:val="696969"/>
          <w:spacing w:val="-4"/>
          <w:sz w:val="24"/>
        </w:rPr>
        <w:t>. </w:t>
      </w:r>
      <w:r>
        <w:rPr>
          <w:rFonts w:ascii="Arial"/>
          <w:color w:val="343436"/>
          <w:sz w:val="24"/>
        </w:rPr>
        <w:t>Code section </w:t>
      </w:r>
      <w:r>
        <w:rPr>
          <w:rFonts w:ascii="Arial"/>
          <w:color w:val="343436"/>
          <w:spacing w:val="-3"/>
          <w:sz w:val="24"/>
        </w:rPr>
        <w:t>6595</w:t>
      </w:r>
      <w:r>
        <w:rPr>
          <w:rFonts w:ascii="Arial"/>
          <w:color w:val="181818"/>
          <w:spacing w:val="-3"/>
          <w:sz w:val="24"/>
        </w:rPr>
        <w:t>0</w:t>
      </w:r>
      <w:r>
        <w:rPr>
          <w:rFonts w:ascii="Arial"/>
          <w:color w:val="343436"/>
          <w:spacing w:val="-3"/>
          <w:sz w:val="24"/>
        </w:rPr>
        <w:t>(a), </w:t>
      </w:r>
      <w:r>
        <w:rPr>
          <w:rFonts w:ascii="Arial"/>
          <w:color w:val="343436"/>
          <w:sz w:val="24"/>
        </w:rPr>
        <w:t>a mandatory </w:t>
      </w:r>
      <w:r>
        <w:rPr>
          <w:rFonts w:ascii="Arial"/>
          <w:color w:val="343436"/>
          <w:spacing w:val="-4"/>
          <w:sz w:val="24"/>
        </w:rPr>
        <w:t>180</w:t>
      </w:r>
      <w:r>
        <w:rPr>
          <w:rFonts w:ascii="Arial"/>
          <w:color w:val="565656"/>
          <w:spacing w:val="-4"/>
          <w:sz w:val="24"/>
        </w:rPr>
        <w:t>-</w:t>
      </w:r>
      <w:r>
        <w:rPr>
          <w:rFonts w:ascii="Arial"/>
          <w:color w:val="343436"/>
          <w:spacing w:val="-4"/>
          <w:sz w:val="24"/>
        </w:rPr>
        <w:t>day </w:t>
      </w:r>
      <w:r>
        <w:rPr>
          <w:rFonts w:ascii="Arial"/>
          <w:color w:val="343436"/>
          <w:sz w:val="24"/>
        </w:rPr>
        <w:t>deadline then accrued, which expired on January 27, </w:t>
      </w:r>
      <w:r>
        <w:rPr>
          <w:rFonts w:ascii="Arial"/>
          <w:color w:val="343436"/>
          <w:spacing w:val="3"/>
          <w:sz w:val="24"/>
        </w:rPr>
        <w:t>2014</w:t>
      </w:r>
      <w:r>
        <w:rPr>
          <w:rFonts w:ascii="Arial"/>
          <w:color w:val="181818"/>
          <w:spacing w:val="3"/>
          <w:sz w:val="24"/>
        </w:rPr>
        <w:t>. </w:t>
      </w:r>
      <w:r>
        <w:rPr>
          <w:rFonts w:ascii="Arial"/>
          <w:color w:val="343436"/>
          <w:sz w:val="24"/>
        </w:rPr>
        <w:t>On January 22</w:t>
      </w:r>
      <w:r>
        <w:rPr>
          <w:rFonts w:ascii="Arial"/>
          <w:color w:val="565656"/>
          <w:sz w:val="24"/>
        </w:rPr>
        <w:t>, </w:t>
      </w:r>
      <w:r>
        <w:rPr>
          <w:rFonts w:ascii="Arial"/>
          <w:color w:val="343436"/>
          <w:sz w:val="24"/>
        </w:rPr>
        <w:t>2014</w:t>
      </w:r>
      <w:r>
        <w:rPr>
          <w:rFonts w:ascii="Arial"/>
          <w:color w:val="565656"/>
          <w:sz w:val="24"/>
        </w:rPr>
        <w:t>, </w:t>
      </w:r>
      <w:r>
        <w:rPr>
          <w:rFonts w:ascii="Arial"/>
          <w:color w:val="343436"/>
          <w:sz w:val="24"/>
        </w:rPr>
        <w:t>the developer </w:t>
      </w:r>
      <w:r>
        <w:rPr>
          <w:rFonts w:ascii="Arial"/>
          <w:color w:val="565656"/>
          <w:sz w:val="24"/>
        </w:rPr>
        <w:t>'</w:t>
      </w:r>
      <w:r>
        <w:rPr>
          <w:rFonts w:ascii="Arial"/>
          <w:color w:val="343436"/>
          <w:sz w:val="24"/>
        </w:rPr>
        <w:t>suspended</w:t>
      </w:r>
      <w:r>
        <w:rPr>
          <w:rFonts w:ascii="Arial"/>
          <w:color w:val="565656"/>
          <w:sz w:val="24"/>
        </w:rPr>
        <w:t>' </w:t>
      </w:r>
      <w:r>
        <w:rPr>
          <w:rFonts w:ascii="Arial"/>
          <w:color w:val="343436"/>
          <w:sz w:val="24"/>
        </w:rPr>
        <w:t>the application. </w:t>
      </w:r>
      <w:r>
        <w:rPr>
          <w:rFonts w:ascii="Arial"/>
          <w:color w:val="343436"/>
          <w:spacing w:val="-4"/>
          <w:sz w:val="24"/>
        </w:rPr>
        <w:t>However</w:t>
      </w:r>
      <w:r>
        <w:rPr>
          <w:rFonts w:ascii="Arial"/>
          <w:color w:val="565656"/>
          <w:spacing w:val="-4"/>
          <w:sz w:val="24"/>
        </w:rPr>
        <w:t>, </w:t>
      </w:r>
      <w:r>
        <w:rPr>
          <w:rFonts w:ascii="Arial"/>
          <w:color w:val="343436"/>
          <w:sz w:val="24"/>
        </w:rPr>
        <w:t>the mandatory deadline under the Streamlining Act </w:t>
      </w:r>
      <w:r>
        <w:rPr>
          <w:rFonts w:ascii="Arial"/>
          <w:color w:val="343436"/>
          <w:spacing w:val="-5"/>
          <w:sz w:val="24"/>
        </w:rPr>
        <w:t>cou</w:t>
      </w:r>
      <w:r>
        <w:rPr>
          <w:rFonts w:ascii="Arial"/>
          <w:color w:val="181818"/>
          <w:spacing w:val="-5"/>
          <w:sz w:val="24"/>
        </w:rPr>
        <w:t>l</w:t>
      </w:r>
      <w:r>
        <w:rPr>
          <w:rFonts w:ascii="Arial"/>
          <w:color w:val="343436"/>
          <w:spacing w:val="-5"/>
          <w:sz w:val="24"/>
        </w:rPr>
        <w:t>d </w:t>
      </w:r>
      <w:r>
        <w:rPr>
          <w:rFonts w:ascii="Arial"/>
          <w:color w:val="343436"/>
          <w:sz w:val="24"/>
        </w:rPr>
        <w:t>not be waived  or continued</w:t>
      </w:r>
      <w:r>
        <w:rPr>
          <w:rFonts w:ascii="Arial"/>
          <w:color w:val="696969"/>
          <w:sz w:val="24"/>
        </w:rPr>
        <w:t>. </w:t>
      </w:r>
      <w:r>
        <w:rPr>
          <w:rFonts w:ascii="Arial"/>
          <w:color w:val="343436"/>
          <w:sz w:val="24"/>
        </w:rPr>
        <w:t>The developer  had the right to submit or </w:t>
      </w:r>
      <w:r>
        <w:rPr>
          <w:rFonts w:ascii="Arial"/>
          <w:color w:val="464648"/>
          <w:sz w:val="24"/>
        </w:rPr>
        <w:t>resubmit </w:t>
      </w:r>
      <w:r>
        <w:rPr>
          <w:rFonts w:ascii="Arial"/>
          <w:color w:val="343436"/>
          <w:sz w:val="24"/>
        </w:rPr>
        <w:t>the application, but new deadlines would</w:t>
      </w:r>
      <w:r>
        <w:rPr>
          <w:rFonts w:ascii="Arial"/>
          <w:color w:val="343436"/>
          <w:spacing w:val="15"/>
          <w:sz w:val="24"/>
        </w:rPr>
        <w:t> </w:t>
      </w:r>
      <w:r>
        <w:rPr>
          <w:rFonts w:ascii="Arial"/>
          <w:color w:val="343436"/>
          <w:sz w:val="24"/>
        </w:rPr>
        <w:t>accrue</w:t>
      </w:r>
      <w:r>
        <w:rPr>
          <w:rFonts w:ascii="Arial"/>
          <w:color w:val="565656"/>
          <w:sz w:val="24"/>
        </w:rPr>
        <w:t>.</w:t>
      </w:r>
    </w:p>
    <w:p>
      <w:pPr>
        <w:pStyle w:val="BodyText"/>
        <w:spacing w:before="11"/>
        <w:rPr>
          <w:rFonts w:ascii="Arial"/>
          <w:sz w:val="23"/>
        </w:rPr>
      </w:pPr>
    </w:p>
    <w:p>
      <w:pPr>
        <w:spacing w:line="244" w:lineRule="auto" w:before="0"/>
        <w:ind w:left="409" w:right="539" w:firstLine="733"/>
        <w:jc w:val="left"/>
        <w:rPr>
          <w:rFonts w:ascii="Arial"/>
          <w:sz w:val="24"/>
        </w:rPr>
      </w:pPr>
      <w:r>
        <w:rPr>
          <w:rFonts w:ascii="Arial"/>
          <w:color w:val="343436"/>
          <w:sz w:val="24"/>
        </w:rPr>
        <w:t>The Legislature made this abso</w:t>
      </w:r>
      <w:r>
        <w:rPr>
          <w:rFonts w:ascii="Arial"/>
          <w:color w:val="565656"/>
          <w:sz w:val="24"/>
        </w:rPr>
        <w:t>l</w:t>
      </w:r>
      <w:r>
        <w:rPr>
          <w:rFonts w:ascii="Arial"/>
          <w:color w:val="343436"/>
          <w:sz w:val="24"/>
        </w:rPr>
        <w:t>utely clear in respons</w:t>
      </w:r>
      <w:r>
        <w:rPr>
          <w:rFonts w:ascii="Arial"/>
          <w:color w:val="181818"/>
          <w:sz w:val="24"/>
        </w:rPr>
        <w:t>e </w:t>
      </w:r>
      <w:r>
        <w:rPr>
          <w:rFonts w:ascii="Arial"/>
          <w:color w:val="343436"/>
          <w:sz w:val="24"/>
        </w:rPr>
        <w:t>to a 1997 case, </w:t>
      </w:r>
      <w:r>
        <w:rPr>
          <w:rFonts w:ascii="Arial"/>
          <w:i/>
          <w:color w:val="343436"/>
          <w:sz w:val="24"/>
        </w:rPr>
        <w:t>Bick</w:t>
      </w:r>
      <w:r>
        <w:rPr>
          <w:rFonts w:ascii="Arial"/>
          <w:i/>
          <w:color w:val="181818"/>
          <w:sz w:val="24"/>
        </w:rPr>
        <w:t>e</w:t>
      </w:r>
      <w:r>
        <w:rPr>
          <w:rFonts w:ascii="Arial"/>
          <w:i/>
          <w:color w:val="343436"/>
          <w:sz w:val="24"/>
        </w:rPr>
        <w:t>l v</w:t>
      </w:r>
      <w:r>
        <w:rPr>
          <w:rFonts w:ascii="Arial"/>
          <w:i/>
          <w:color w:val="181818"/>
          <w:sz w:val="24"/>
        </w:rPr>
        <w:t>. </w:t>
      </w:r>
      <w:r>
        <w:rPr>
          <w:rFonts w:ascii="Arial"/>
          <w:i/>
          <w:color w:val="343436"/>
          <w:sz w:val="24"/>
        </w:rPr>
        <w:t>City </w:t>
      </w:r>
      <w:r>
        <w:rPr>
          <w:rFonts w:ascii="Arial"/>
          <w:i/>
          <w:color w:val="181818"/>
          <w:sz w:val="24"/>
        </w:rPr>
        <w:t>o</w:t>
      </w:r>
      <w:r>
        <w:rPr>
          <w:rFonts w:ascii="Arial"/>
          <w:i/>
          <w:color w:val="343436"/>
          <w:sz w:val="24"/>
        </w:rPr>
        <w:t>f Piedm</w:t>
      </w:r>
      <w:r>
        <w:rPr>
          <w:rFonts w:ascii="Arial"/>
          <w:i/>
          <w:color w:val="181818"/>
          <w:sz w:val="24"/>
        </w:rPr>
        <w:t>o</w:t>
      </w:r>
      <w:r>
        <w:rPr>
          <w:rFonts w:ascii="Arial"/>
          <w:i/>
          <w:color w:val="343436"/>
          <w:sz w:val="24"/>
        </w:rPr>
        <w:t>nt</w:t>
      </w:r>
      <w:r>
        <w:rPr>
          <w:rFonts w:ascii="Arial"/>
          <w:i/>
          <w:color w:val="565656"/>
          <w:sz w:val="24"/>
        </w:rPr>
        <w:t>, </w:t>
      </w:r>
      <w:r>
        <w:rPr>
          <w:rFonts w:ascii="Arial"/>
          <w:color w:val="343436"/>
          <w:sz w:val="24"/>
        </w:rPr>
        <w:t>which had held the deadline under the Streamlining Act was for th</w:t>
      </w:r>
      <w:r>
        <w:rPr>
          <w:rFonts w:ascii="Arial"/>
          <w:color w:val="181818"/>
          <w:sz w:val="24"/>
        </w:rPr>
        <w:t>e </w:t>
      </w:r>
      <w:r>
        <w:rPr>
          <w:rFonts w:ascii="Arial"/>
          <w:color w:val="343436"/>
          <w:sz w:val="24"/>
        </w:rPr>
        <w:t>ben</w:t>
      </w:r>
      <w:r>
        <w:rPr>
          <w:rFonts w:ascii="Arial"/>
          <w:color w:val="181818"/>
          <w:sz w:val="24"/>
        </w:rPr>
        <w:t>e</w:t>
      </w:r>
      <w:r>
        <w:rPr>
          <w:rFonts w:ascii="Arial"/>
          <w:color w:val="343436"/>
          <w:sz w:val="24"/>
        </w:rPr>
        <w:t>fit of th</w:t>
      </w:r>
      <w:r>
        <w:rPr>
          <w:rFonts w:ascii="Arial"/>
          <w:color w:val="181818"/>
          <w:sz w:val="24"/>
        </w:rPr>
        <w:t>e </w:t>
      </w:r>
      <w:r>
        <w:rPr>
          <w:rFonts w:ascii="Arial"/>
          <w:color w:val="343436"/>
          <w:sz w:val="24"/>
        </w:rPr>
        <w:t>applicant. The fo</w:t>
      </w:r>
      <w:r>
        <w:rPr>
          <w:rFonts w:ascii="Arial"/>
          <w:color w:val="181818"/>
          <w:sz w:val="24"/>
        </w:rPr>
        <w:t>l</w:t>
      </w:r>
      <w:r>
        <w:rPr>
          <w:rFonts w:ascii="Arial"/>
          <w:color w:val="343436"/>
          <w:sz w:val="24"/>
        </w:rPr>
        <w:t>lowing </w:t>
      </w:r>
      <w:r>
        <w:rPr>
          <w:rFonts w:ascii="Arial"/>
          <w:color w:val="464648"/>
          <w:sz w:val="24"/>
        </w:rPr>
        <w:t>legislative </w:t>
      </w:r>
      <w:r>
        <w:rPr>
          <w:rFonts w:ascii="Arial"/>
          <w:color w:val="343436"/>
          <w:sz w:val="24"/>
        </w:rPr>
        <w:t>session</w:t>
      </w:r>
      <w:r>
        <w:rPr>
          <w:rFonts w:ascii="Arial"/>
          <w:color w:val="565656"/>
          <w:sz w:val="24"/>
        </w:rPr>
        <w:t>, </w:t>
      </w:r>
      <w:r>
        <w:rPr>
          <w:rFonts w:ascii="Arial"/>
          <w:color w:val="343436"/>
          <w:sz w:val="24"/>
        </w:rPr>
        <w:t>the Legislature </w:t>
      </w:r>
      <w:r>
        <w:rPr>
          <w:rFonts w:ascii="Arial"/>
          <w:i/>
          <w:color w:val="343436"/>
          <w:sz w:val="24"/>
        </w:rPr>
        <w:t>disappro</w:t>
      </w:r>
      <w:r>
        <w:rPr>
          <w:rFonts w:ascii="Arial"/>
          <w:i/>
          <w:color w:val="181818"/>
          <w:sz w:val="24"/>
        </w:rPr>
        <w:t>ve</w:t>
      </w:r>
      <w:r>
        <w:rPr>
          <w:rFonts w:ascii="Arial"/>
          <w:i/>
          <w:color w:val="343436"/>
          <w:sz w:val="24"/>
        </w:rPr>
        <w:t>d </w:t>
      </w:r>
      <w:r>
        <w:rPr>
          <w:rFonts w:ascii="Arial"/>
          <w:i/>
          <w:color w:val="343436"/>
          <w:sz w:val="24"/>
        </w:rPr>
        <w:t>Bickel </w:t>
      </w:r>
      <w:r>
        <w:rPr>
          <w:rFonts w:ascii="Arial"/>
          <w:color w:val="343436"/>
          <w:sz w:val="24"/>
        </w:rPr>
        <w:t>and held the deadlines wer</w:t>
      </w:r>
      <w:r>
        <w:rPr>
          <w:rFonts w:ascii="Arial"/>
          <w:color w:val="181818"/>
          <w:sz w:val="24"/>
        </w:rPr>
        <w:t>e </w:t>
      </w:r>
      <w:r>
        <w:rPr>
          <w:rFonts w:ascii="Arial"/>
          <w:i/>
          <w:color w:val="565656"/>
          <w:sz w:val="24"/>
        </w:rPr>
        <w:t>" </w:t>
      </w:r>
      <w:r>
        <w:rPr>
          <w:rFonts w:ascii="Arial"/>
          <w:i/>
          <w:color w:val="343436"/>
          <w:sz w:val="24"/>
        </w:rPr>
        <w:t>established for </w:t>
      </w:r>
      <w:r>
        <w:rPr>
          <w:rFonts w:ascii="Arial"/>
          <w:color w:val="343436"/>
          <w:sz w:val="24"/>
        </w:rPr>
        <w:t>a </w:t>
      </w:r>
      <w:r>
        <w:rPr>
          <w:rFonts w:ascii="Arial"/>
          <w:i/>
          <w:color w:val="343436"/>
          <w:sz w:val="24"/>
        </w:rPr>
        <w:t>public reason </w:t>
      </w:r>
      <w:r>
        <w:rPr>
          <w:rFonts w:ascii="Arial"/>
          <w:color w:val="343436"/>
          <w:sz w:val="24"/>
        </w:rPr>
        <w:t>[which] </w:t>
      </w:r>
      <w:r>
        <w:rPr>
          <w:rFonts w:ascii="Arial"/>
          <w:i/>
          <w:color w:val="343436"/>
          <w:sz w:val="24"/>
        </w:rPr>
        <w:t>cann</w:t>
      </w:r>
      <w:r>
        <w:rPr>
          <w:rFonts w:ascii="Arial"/>
          <w:i/>
          <w:color w:val="181818"/>
          <w:sz w:val="24"/>
        </w:rPr>
        <w:t>o</w:t>
      </w:r>
      <w:r>
        <w:rPr>
          <w:rFonts w:ascii="Arial"/>
          <w:i/>
          <w:color w:val="343436"/>
          <w:sz w:val="24"/>
        </w:rPr>
        <w:t>t be </w:t>
      </w:r>
      <w:r>
        <w:rPr>
          <w:rFonts w:ascii="Arial"/>
          <w:i/>
          <w:color w:val="343436"/>
          <w:sz w:val="24"/>
        </w:rPr>
        <w:t>waived or </w:t>
      </w:r>
      <w:r>
        <w:rPr>
          <w:rFonts w:ascii="Arial"/>
          <w:i/>
          <w:color w:val="181818"/>
          <w:sz w:val="24"/>
        </w:rPr>
        <w:t>c</w:t>
      </w:r>
      <w:r>
        <w:rPr>
          <w:rFonts w:ascii="Arial"/>
          <w:i/>
          <w:color w:val="343436"/>
          <w:sz w:val="24"/>
        </w:rPr>
        <w:t>ircumvented by private act or agreement</w:t>
      </w:r>
      <w:r>
        <w:rPr>
          <w:rFonts w:ascii="Arial"/>
          <w:i/>
          <w:color w:val="565656"/>
          <w:sz w:val="24"/>
        </w:rPr>
        <w:t>.' </w:t>
      </w:r>
      <w:r>
        <w:rPr>
          <w:rFonts w:ascii="Arial"/>
          <w:color w:val="343436"/>
          <w:sz w:val="24"/>
        </w:rPr>
        <w:t>Refer to SB no. 2005 (FIRST ATTACHMENT). </w:t>
      </w:r>
      <w:r>
        <w:rPr>
          <w:rFonts w:ascii="Arial"/>
          <w:i/>
          <w:color w:val="343436"/>
          <w:sz w:val="24"/>
        </w:rPr>
        <w:t>Bickel </w:t>
      </w:r>
      <w:r>
        <w:rPr>
          <w:rFonts w:ascii="Arial"/>
          <w:color w:val="343436"/>
          <w:sz w:val="24"/>
        </w:rPr>
        <w:t>was no longer good law after </w:t>
      </w:r>
      <w:r>
        <w:rPr>
          <w:rFonts w:ascii="Arial"/>
          <w:color w:val="464648"/>
          <w:sz w:val="24"/>
        </w:rPr>
        <w:t>1998 </w:t>
      </w:r>
      <w:r>
        <w:rPr>
          <w:rFonts w:ascii="Arial"/>
          <w:color w:val="343436"/>
          <w:sz w:val="24"/>
        </w:rPr>
        <w:t>and the absolute </w:t>
      </w:r>
      <w:r>
        <w:rPr>
          <w:rFonts w:ascii="Arial"/>
          <w:color w:val="565656"/>
          <w:sz w:val="24"/>
        </w:rPr>
        <w:t>'</w:t>
      </w:r>
      <w:r>
        <w:rPr>
          <w:rFonts w:ascii="Arial"/>
          <w:color w:val="343436"/>
          <w:sz w:val="24"/>
        </w:rPr>
        <w:t>public reason</w:t>
      </w:r>
      <w:r>
        <w:rPr>
          <w:rFonts w:ascii="Arial"/>
          <w:color w:val="565656"/>
          <w:sz w:val="24"/>
        </w:rPr>
        <w:t>' </w:t>
      </w:r>
      <w:r>
        <w:rPr>
          <w:rFonts w:ascii="Arial"/>
          <w:color w:val="343436"/>
          <w:sz w:val="24"/>
        </w:rPr>
        <w:t>deadlines control (SECOND ATTACHMENT).</w:t>
      </w:r>
    </w:p>
    <w:p>
      <w:pPr>
        <w:pStyle w:val="BodyText"/>
        <w:spacing w:before="3"/>
        <w:rPr>
          <w:rFonts w:ascii="Arial"/>
          <w:sz w:val="24"/>
        </w:rPr>
      </w:pPr>
    </w:p>
    <w:p>
      <w:pPr>
        <w:pStyle w:val="Heading1"/>
        <w:spacing w:line="244" w:lineRule="auto"/>
        <w:ind w:left="411" w:firstLine="735"/>
      </w:pPr>
      <w:r>
        <w:rPr>
          <w:color w:val="343436"/>
        </w:rPr>
        <w:t>Save Lafayette </w:t>
      </w:r>
      <w:r>
        <w:rPr>
          <w:color w:val="181818"/>
        </w:rPr>
        <w:t>submitted this issue to the city multiple times, including </w:t>
      </w:r>
      <w:r>
        <w:rPr>
          <w:color w:val="343436"/>
        </w:rPr>
        <w:t>April 9</w:t>
      </w:r>
      <w:r>
        <w:rPr>
          <w:color w:val="565656"/>
        </w:rPr>
        <w:t>, </w:t>
      </w:r>
      <w:r>
        <w:rPr>
          <w:color w:val="343436"/>
        </w:rPr>
        <w:t>2018, May 14, 2018</w:t>
      </w:r>
      <w:r>
        <w:rPr>
          <w:color w:val="565656"/>
        </w:rPr>
        <w:t>, </w:t>
      </w:r>
      <w:r>
        <w:rPr>
          <w:color w:val="343436"/>
        </w:rPr>
        <w:t>August 11</w:t>
      </w:r>
      <w:r>
        <w:rPr>
          <w:color w:val="565656"/>
        </w:rPr>
        <w:t>, </w:t>
      </w:r>
      <w:r>
        <w:rPr>
          <w:color w:val="343436"/>
        </w:rPr>
        <w:t>2019 </w:t>
      </w:r>
      <w:r>
        <w:rPr>
          <w:color w:val="565656"/>
        </w:rPr>
        <w:t>, </w:t>
      </w:r>
      <w:r>
        <w:rPr>
          <w:color w:val="343436"/>
        </w:rPr>
        <w:t>May 13</w:t>
      </w:r>
      <w:r>
        <w:rPr>
          <w:color w:val="565656"/>
        </w:rPr>
        <w:t>, </w:t>
      </w:r>
      <w:r>
        <w:rPr>
          <w:color w:val="343436"/>
        </w:rPr>
        <w:t>2020</w:t>
      </w:r>
      <w:r>
        <w:rPr>
          <w:color w:val="565656"/>
        </w:rPr>
        <w:t>, </w:t>
      </w:r>
      <w:r>
        <w:rPr>
          <w:color w:val="343436"/>
        </w:rPr>
        <w:t>and August 3</w:t>
      </w:r>
      <w:r>
        <w:rPr>
          <w:color w:val="565656"/>
        </w:rPr>
        <w:t>, </w:t>
      </w:r>
      <w:r>
        <w:rPr>
          <w:color w:val="343436"/>
        </w:rPr>
        <w:t>2020, and constituents have publicly commented on the city</w:t>
      </w:r>
      <w:r>
        <w:rPr>
          <w:color w:val="565656"/>
        </w:rPr>
        <w:t>'</w:t>
      </w:r>
      <w:r>
        <w:rPr>
          <w:color w:val="343436"/>
        </w:rPr>
        <w:t>s failure to address the Permit Streamlining Act's deadlines. The city has never responded with any explanation of its disregard of state law</w:t>
      </w:r>
      <w:r>
        <w:rPr>
          <w:color w:val="181818"/>
        </w:rPr>
        <w:t>.</w:t>
      </w:r>
    </w:p>
    <w:p>
      <w:pPr>
        <w:pStyle w:val="BodyText"/>
        <w:spacing w:before="1"/>
        <w:rPr>
          <w:rFonts w:ascii="Arial"/>
          <w:sz w:val="24"/>
        </w:rPr>
      </w:pPr>
    </w:p>
    <w:p>
      <w:pPr>
        <w:spacing w:line="244" w:lineRule="auto" w:before="0"/>
        <w:ind w:left="406" w:right="513" w:firstLine="740"/>
        <w:jc w:val="left"/>
        <w:rPr>
          <w:rFonts w:ascii="Arial"/>
          <w:sz w:val="24"/>
        </w:rPr>
      </w:pPr>
      <w:r>
        <w:rPr>
          <w:rFonts w:ascii="Arial"/>
          <w:color w:val="343436"/>
          <w:sz w:val="24"/>
        </w:rPr>
        <w:t>On resubmittal of this application by the developer in </w:t>
      </w:r>
      <w:r>
        <w:rPr>
          <w:rFonts w:ascii="Arial"/>
          <w:color w:val="343436"/>
          <w:spacing w:val="-4"/>
          <w:sz w:val="24"/>
        </w:rPr>
        <w:t>2018</w:t>
      </w:r>
      <w:r>
        <w:rPr>
          <w:rFonts w:ascii="Arial"/>
          <w:color w:val="565656"/>
          <w:spacing w:val="-4"/>
          <w:sz w:val="24"/>
        </w:rPr>
        <w:t>, </w:t>
      </w:r>
      <w:r>
        <w:rPr>
          <w:rFonts w:ascii="Arial"/>
          <w:color w:val="343436"/>
          <w:sz w:val="24"/>
        </w:rPr>
        <w:t>a </w:t>
      </w:r>
      <w:r>
        <w:rPr>
          <w:rFonts w:ascii="Arial"/>
          <w:i/>
          <w:color w:val="343436"/>
          <w:sz w:val="24"/>
        </w:rPr>
        <w:t>new </w:t>
      </w:r>
      <w:r>
        <w:rPr>
          <w:rFonts w:ascii="Arial"/>
          <w:color w:val="343436"/>
          <w:sz w:val="24"/>
        </w:rPr>
        <w:t>substantially c</w:t>
      </w:r>
      <w:r>
        <w:rPr>
          <w:rFonts w:ascii="Arial"/>
          <w:color w:val="181818"/>
          <w:sz w:val="24"/>
        </w:rPr>
        <w:t>o</w:t>
      </w:r>
      <w:r>
        <w:rPr>
          <w:rFonts w:ascii="Arial"/>
          <w:color w:val="343436"/>
          <w:sz w:val="24"/>
        </w:rPr>
        <w:t>mplete d</w:t>
      </w:r>
      <w:r>
        <w:rPr>
          <w:rFonts w:ascii="Arial"/>
          <w:color w:val="181818"/>
          <w:sz w:val="24"/>
        </w:rPr>
        <w:t>e</w:t>
      </w:r>
      <w:r>
        <w:rPr>
          <w:rFonts w:ascii="Arial"/>
          <w:color w:val="343436"/>
          <w:sz w:val="24"/>
        </w:rPr>
        <w:t>termination and new processing deadlines </w:t>
      </w:r>
      <w:r>
        <w:rPr>
          <w:rFonts w:ascii="Arial"/>
          <w:color w:val="343436"/>
          <w:spacing w:val="-7"/>
          <w:sz w:val="24"/>
        </w:rPr>
        <w:t>becam</w:t>
      </w:r>
      <w:r>
        <w:rPr>
          <w:rFonts w:ascii="Arial"/>
          <w:color w:val="181818"/>
          <w:spacing w:val="-7"/>
          <w:sz w:val="24"/>
        </w:rPr>
        <w:t>e </w:t>
      </w:r>
      <w:r>
        <w:rPr>
          <w:rFonts w:ascii="Arial"/>
          <w:color w:val="343436"/>
          <w:sz w:val="24"/>
        </w:rPr>
        <w:t>applicable under th</w:t>
      </w:r>
      <w:r>
        <w:rPr>
          <w:rFonts w:ascii="Arial"/>
          <w:color w:val="181818"/>
          <w:sz w:val="24"/>
        </w:rPr>
        <w:t>e </w:t>
      </w:r>
      <w:r>
        <w:rPr>
          <w:rFonts w:ascii="Arial"/>
          <w:color w:val="343436"/>
          <w:sz w:val="24"/>
        </w:rPr>
        <w:t>Permit Streamlining Act</w:t>
      </w:r>
      <w:r>
        <w:rPr>
          <w:rFonts w:ascii="Arial"/>
          <w:color w:val="565656"/>
          <w:sz w:val="24"/>
        </w:rPr>
        <w:t>, </w:t>
      </w:r>
      <w:r>
        <w:rPr>
          <w:rFonts w:ascii="Arial"/>
          <w:color w:val="343436"/>
          <w:sz w:val="24"/>
        </w:rPr>
        <w:t>Gov. Code section 65943(a) (THIRD ATTACHMENT) </w:t>
      </w:r>
      <w:r>
        <w:rPr>
          <w:rFonts w:ascii="Arial"/>
          <w:color w:val="565656"/>
          <w:sz w:val="24"/>
        </w:rPr>
        <w:t>. </w:t>
      </w:r>
      <w:r>
        <w:rPr>
          <w:rFonts w:ascii="Arial"/>
          <w:color w:val="343436"/>
          <w:sz w:val="24"/>
        </w:rPr>
        <w:t>It is the current substantially complete determination</w:t>
      </w:r>
      <w:r>
        <w:rPr>
          <w:rFonts w:ascii="Arial"/>
          <w:color w:val="565656"/>
          <w:sz w:val="24"/>
        </w:rPr>
        <w:t>, </w:t>
      </w:r>
      <w:r>
        <w:rPr>
          <w:rFonts w:ascii="Arial"/>
          <w:color w:val="343436"/>
          <w:sz w:val="24"/>
        </w:rPr>
        <w:t>subject to the </w:t>
      </w:r>
      <w:r>
        <w:rPr>
          <w:rFonts w:ascii="Arial"/>
          <w:color w:val="181818"/>
          <w:sz w:val="24"/>
        </w:rPr>
        <w:t>2015 Low Density Single Family Residential (SFR-LD) land use designation and 2018 Single Family residential District-65 (R-65) zoning, </w:t>
      </w:r>
      <w:r>
        <w:rPr>
          <w:rFonts w:ascii="Arial"/>
          <w:color w:val="343436"/>
          <w:sz w:val="24"/>
        </w:rPr>
        <w:t>that is before the</w:t>
      </w:r>
      <w:r>
        <w:rPr>
          <w:rFonts w:ascii="Arial"/>
          <w:color w:val="343436"/>
          <w:spacing w:val="58"/>
          <w:sz w:val="24"/>
        </w:rPr>
        <w:t> </w:t>
      </w:r>
      <w:r>
        <w:rPr>
          <w:rFonts w:ascii="Arial"/>
          <w:color w:val="343436"/>
          <w:sz w:val="24"/>
        </w:rPr>
        <w:t>city.</w:t>
      </w:r>
    </w:p>
    <w:p>
      <w:pPr>
        <w:pStyle w:val="BodyText"/>
        <w:rPr>
          <w:rFonts w:ascii="Arial"/>
          <w:sz w:val="24"/>
        </w:rPr>
      </w:pPr>
    </w:p>
    <w:p>
      <w:pPr>
        <w:spacing w:line="242" w:lineRule="auto" w:before="0"/>
        <w:ind w:left="405" w:right="539" w:firstLine="800"/>
        <w:jc w:val="left"/>
        <w:rPr>
          <w:rFonts w:ascii="Arial"/>
          <w:sz w:val="24"/>
        </w:rPr>
      </w:pPr>
      <w:r>
        <w:rPr>
          <w:rFonts w:ascii="Arial"/>
          <w:color w:val="343436"/>
          <w:sz w:val="24"/>
        </w:rPr>
        <w:t>To consider apartments, the general plan and zoning must be </w:t>
      </w:r>
      <w:r>
        <w:rPr>
          <w:rFonts w:ascii="Arial"/>
          <w:color w:val="464648"/>
          <w:sz w:val="24"/>
        </w:rPr>
        <w:t>"amended </w:t>
      </w:r>
      <w:r>
        <w:rPr>
          <w:rFonts w:ascii="Arial"/>
          <w:color w:val="343436"/>
          <w:sz w:val="24"/>
        </w:rPr>
        <w:t>by the legislative pro</w:t>
      </w:r>
      <w:r>
        <w:rPr>
          <w:rFonts w:ascii="Arial"/>
          <w:color w:val="181818"/>
          <w:sz w:val="24"/>
        </w:rPr>
        <w:t>c</w:t>
      </w:r>
      <w:r>
        <w:rPr>
          <w:rFonts w:ascii="Arial"/>
          <w:color w:val="343436"/>
          <w:sz w:val="24"/>
        </w:rPr>
        <w:t>ess.'</w:t>
      </w:r>
      <w:r>
        <w:rPr>
          <w:rFonts w:ascii="Arial"/>
          <w:color w:val="565656"/>
          <w:sz w:val="24"/>
        </w:rPr>
        <w:t>' </w:t>
      </w:r>
      <w:r>
        <w:rPr>
          <w:rFonts w:ascii="Arial"/>
          <w:i/>
          <w:color w:val="343436"/>
          <w:sz w:val="24"/>
        </w:rPr>
        <w:t>Land Waste Management v</w:t>
      </w:r>
      <w:r>
        <w:rPr>
          <w:rFonts w:ascii="Arial"/>
          <w:i/>
          <w:color w:val="696969"/>
          <w:sz w:val="24"/>
        </w:rPr>
        <w:t>. </w:t>
      </w:r>
      <w:r>
        <w:rPr>
          <w:rFonts w:ascii="Arial"/>
          <w:i/>
          <w:color w:val="343436"/>
          <w:sz w:val="24"/>
        </w:rPr>
        <w:t>Contra Costa Board of Supervisors</w:t>
      </w:r>
      <w:r>
        <w:rPr>
          <w:rFonts w:ascii="Arial"/>
          <w:i/>
          <w:color w:val="565656"/>
          <w:sz w:val="24"/>
        </w:rPr>
        <w:t>, </w:t>
      </w:r>
      <w:r>
        <w:rPr>
          <w:rFonts w:ascii="Arial"/>
          <w:i/>
          <w:color w:val="343436"/>
          <w:sz w:val="24"/>
        </w:rPr>
        <w:t>supra, </w:t>
      </w:r>
      <w:r>
        <w:rPr>
          <w:rFonts w:ascii="Arial"/>
          <w:color w:val="343436"/>
          <w:sz w:val="24"/>
        </w:rPr>
        <w:t>222 Cal. App</w:t>
      </w:r>
      <w:r>
        <w:rPr>
          <w:rFonts w:ascii="Arial"/>
          <w:color w:val="565656"/>
          <w:sz w:val="24"/>
        </w:rPr>
        <w:t>.</w:t>
      </w:r>
      <w:r>
        <w:rPr>
          <w:rFonts w:ascii="Arial"/>
          <w:color w:val="343436"/>
          <w:sz w:val="24"/>
        </w:rPr>
        <w:t>3d at 958</w:t>
      </w:r>
      <w:r>
        <w:rPr>
          <w:rFonts w:ascii="Arial"/>
          <w:color w:val="565656"/>
          <w:sz w:val="24"/>
        </w:rPr>
        <w:t>. </w:t>
      </w:r>
      <w:r>
        <w:rPr>
          <w:rFonts w:ascii="Arial"/>
          <w:color w:val="343436"/>
          <w:sz w:val="24"/>
        </w:rPr>
        <w:t>Of course</w:t>
      </w:r>
      <w:r>
        <w:rPr>
          <w:rFonts w:ascii="Arial"/>
          <w:color w:val="565656"/>
          <w:sz w:val="24"/>
        </w:rPr>
        <w:t>, </w:t>
      </w:r>
      <w:r>
        <w:rPr>
          <w:rFonts w:ascii="Arial"/>
          <w:color w:val="343436"/>
          <w:sz w:val="24"/>
        </w:rPr>
        <w:t>a general plan amendment required to approve the apartments project is a </w:t>
      </w:r>
      <w:r>
        <w:rPr>
          <w:rFonts w:ascii="Arial"/>
          <w:color w:val="464648"/>
          <w:sz w:val="24"/>
        </w:rPr>
        <w:t>legislative </w:t>
      </w:r>
      <w:r>
        <w:rPr>
          <w:rFonts w:ascii="Arial"/>
          <w:color w:val="343436"/>
          <w:sz w:val="24"/>
        </w:rPr>
        <w:t>act subject to referendum. Gov. Code section 65301</w:t>
      </w:r>
      <w:r>
        <w:rPr>
          <w:rFonts w:ascii="Arial"/>
          <w:color w:val="696969"/>
          <w:sz w:val="24"/>
        </w:rPr>
        <w:t>.</w:t>
      </w:r>
      <w:r>
        <w:rPr>
          <w:rFonts w:ascii="Arial"/>
          <w:color w:val="343436"/>
          <w:sz w:val="24"/>
        </w:rPr>
        <w:t>5</w:t>
      </w:r>
      <w:r>
        <w:rPr>
          <w:rFonts w:ascii="Arial"/>
          <w:color w:val="565656"/>
          <w:sz w:val="24"/>
        </w:rPr>
        <w:t>.</w:t>
      </w:r>
    </w:p>
    <w:p>
      <w:pPr>
        <w:spacing w:after="0" w:line="242" w:lineRule="auto"/>
        <w:jc w:val="left"/>
        <w:rPr>
          <w:rFonts w:ascii="Arial"/>
          <w:sz w:val="24"/>
        </w:rPr>
        <w:sectPr>
          <w:pgSz w:w="12240" w:h="15840"/>
          <w:pgMar w:header="0" w:footer="871" w:top="1300" w:bottom="1060" w:left="960" w:right="960"/>
        </w:sectPr>
      </w:pPr>
    </w:p>
    <w:p>
      <w:pPr>
        <w:spacing w:line="247" w:lineRule="auto" w:before="71"/>
        <w:ind w:left="384" w:right="539" w:firstLine="732"/>
        <w:jc w:val="left"/>
        <w:rPr>
          <w:rFonts w:ascii="Arial"/>
          <w:sz w:val="24"/>
        </w:rPr>
      </w:pPr>
      <w:r>
        <w:rPr>
          <w:rFonts w:ascii="Arial"/>
          <w:color w:val="313134"/>
          <w:sz w:val="24"/>
        </w:rPr>
        <w:t>It is therefore appropriate that the inconsistency of the application with the </w:t>
      </w:r>
      <w:r>
        <w:rPr>
          <w:rFonts w:ascii="Arial"/>
          <w:color w:val="313134"/>
          <w:spacing w:val="-3"/>
          <w:sz w:val="24"/>
        </w:rPr>
        <w:t>Gene</w:t>
      </w:r>
      <w:r>
        <w:rPr>
          <w:rFonts w:ascii="Arial"/>
          <w:color w:val="4F4F4F"/>
          <w:spacing w:val="-3"/>
          <w:sz w:val="24"/>
        </w:rPr>
        <w:t>r</w:t>
      </w:r>
      <w:r>
        <w:rPr>
          <w:rFonts w:ascii="Arial"/>
          <w:color w:val="313134"/>
          <w:spacing w:val="-3"/>
          <w:sz w:val="24"/>
        </w:rPr>
        <w:t>al </w:t>
      </w:r>
      <w:r>
        <w:rPr>
          <w:rFonts w:ascii="Arial"/>
          <w:color w:val="313134"/>
          <w:sz w:val="24"/>
        </w:rPr>
        <w:t>Plan land use designation and zoning be included in the city council's</w:t>
      </w:r>
      <w:r>
        <w:rPr>
          <w:rFonts w:ascii="Arial"/>
          <w:color w:val="313134"/>
          <w:spacing w:val="16"/>
          <w:sz w:val="24"/>
        </w:rPr>
        <w:t> </w:t>
      </w:r>
      <w:r>
        <w:rPr>
          <w:rFonts w:ascii="Arial"/>
          <w:color w:val="313134"/>
          <w:sz w:val="24"/>
        </w:rPr>
        <w:t>decision.</w:t>
      </w:r>
    </w:p>
    <w:p>
      <w:pPr>
        <w:pStyle w:val="BodyText"/>
        <w:spacing w:before="9"/>
        <w:rPr>
          <w:rFonts w:ascii="Arial"/>
          <w:sz w:val="16"/>
        </w:rPr>
      </w:pPr>
    </w:p>
    <w:p>
      <w:pPr>
        <w:spacing w:before="93"/>
        <w:ind w:left="1852" w:right="1151" w:firstLine="0"/>
        <w:jc w:val="center"/>
        <w:rPr>
          <w:rFonts w:ascii="Arial"/>
          <w:sz w:val="24"/>
        </w:rPr>
      </w:pPr>
      <w:r>
        <w:rPr>
          <w:rFonts w:ascii="Arial"/>
          <w:color w:val="313134"/>
          <w:sz w:val="24"/>
          <w:u w:val="thick" w:color="313134"/>
        </w:rPr>
        <w:t>CONCLUSION</w:t>
      </w:r>
    </w:p>
    <w:p>
      <w:pPr>
        <w:pStyle w:val="BodyText"/>
        <w:spacing w:before="2"/>
        <w:rPr>
          <w:rFonts w:ascii="Arial"/>
          <w:sz w:val="25"/>
        </w:rPr>
      </w:pPr>
    </w:p>
    <w:p>
      <w:pPr>
        <w:spacing w:line="499" w:lineRule="auto" w:before="0"/>
        <w:ind w:left="1117" w:right="3679" w:firstLine="0"/>
        <w:jc w:val="left"/>
        <w:rPr>
          <w:rFonts w:ascii="Arial"/>
          <w:sz w:val="24"/>
        </w:rPr>
      </w:pPr>
      <w:r>
        <w:rPr>
          <w:rFonts w:ascii="Arial"/>
          <w:color w:val="313134"/>
          <w:sz w:val="24"/>
        </w:rPr>
        <w:t>Thank you for your consideration of the foregoing. Very, truly yours</w:t>
      </w:r>
      <w:r>
        <w:rPr>
          <w:rFonts w:ascii="Arial"/>
          <w:color w:val="4F4F4F"/>
          <w:sz w:val="24"/>
        </w:rPr>
        <w:t>,</w:t>
      </w:r>
    </w:p>
    <w:p>
      <w:pPr>
        <w:pStyle w:val="BodyText"/>
        <w:rPr>
          <w:rFonts w:ascii="Arial"/>
          <w:sz w:val="26"/>
        </w:rPr>
      </w:pPr>
    </w:p>
    <w:p>
      <w:pPr>
        <w:pStyle w:val="BodyText"/>
        <w:spacing w:before="4"/>
        <w:rPr>
          <w:rFonts w:ascii="Arial"/>
          <w:sz w:val="22"/>
        </w:rPr>
      </w:pPr>
    </w:p>
    <w:p>
      <w:pPr>
        <w:spacing w:line="247" w:lineRule="auto" w:before="0"/>
        <w:ind w:left="1117" w:right="7574" w:hanging="5"/>
        <w:jc w:val="left"/>
        <w:rPr>
          <w:rFonts w:ascii="Arial"/>
          <w:sz w:val="24"/>
        </w:rPr>
      </w:pPr>
      <w:r>
        <w:rPr>
          <w:rFonts w:ascii="Arial"/>
          <w:color w:val="313134"/>
          <w:sz w:val="24"/>
        </w:rPr>
        <w:t>Treasurer/CFO Save Lafayette</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8"/>
        <w:rPr>
          <w:rFonts w:ascii="Arial"/>
          <w:sz w:val="23"/>
        </w:rPr>
      </w:pPr>
    </w:p>
    <w:p>
      <w:pPr>
        <w:spacing w:before="93"/>
        <w:ind w:left="382" w:right="0" w:firstLine="0"/>
        <w:jc w:val="left"/>
        <w:rPr>
          <w:rFonts w:ascii="Arial"/>
          <w:sz w:val="24"/>
        </w:rPr>
      </w:pPr>
      <w:r>
        <w:rPr>
          <w:rFonts w:ascii="Arial"/>
          <w:color w:val="313134"/>
          <w:sz w:val="24"/>
          <w:u w:val="thick" w:color="313134"/>
        </w:rPr>
        <w:t>Attachments:</w:t>
      </w:r>
    </w:p>
    <w:p>
      <w:pPr>
        <w:pStyle w:val="BodyText"/>
        <w:spacing w:before="8"/>
        <w:rPr>
          <w:rFonts w:ascii="Arial"/>
          <w:sz w:val="24"/>
        </w:rPr>
      </w:pPr>
    </w:p>
    <w:p>
      <w:pPr>
        <w:pStyle w:val="ListParagraph"/>
        <w:numPr>
          <w:ilvl w:val="0"/>
          <w:numId w:val="2"/>
        </w:numPr>
        <w:tabs>
          <w:tab w:pos="730" w:val="left" w:leader="none"/>
        </w:tabs>
        <w:spacing w:line="240" w:lineRule="auto" w:before="0" w:after="0"/>
        <w:ind w:left="729" w:right="0" w:hanging="340"/>
        <w:jc w:val="left"/>
        <w:rPr>
          <w:sz w:val="24"/>
        </w:rPr>
      </w:pPr>
      <w:r>
        <w:rPr>
          <w:color w:val="313134"/>
          <w:sz w:val="24"/>
        </w:rPr>
        <w:t>SB no. 2005</w:t>
      </w:r>
      <w:r>
        <w:rPr>
          <w:color w:val="4F4F4F"/>
          <w:sz w:val="24"/>
        </w:rPr>
        <w:t>, </w:t>
      </w:r>
      <w:r>
        <w:rPr>
          <w:color w:val="313134"/>
          <w:sz w:val="24"/>
        </w:rPr>
        <w:t>enacted by the Californ</w:t>
      </w:r>
      <w:r>
        <w:rPr>
          <w:color w:val="4F4F4F"/>
          <w:sz w:val="24"/>
        </w:rPr>
        <w:t>i</w:t>
      </w:r>
      <w:r>
        <w:rPr>
          <w:color w:val="313134"/>
          <w:sz w:val="24"/>
        </w:rPr>
        <w:t>a Legislature in 1998 (emphasis</w:t>
      </w:r>
      <w:r>
        <w:rPr>
          <w:color w:val="313134"/>
          <w:spacing w:val="22"/>
          <w:sz w:val="24"/>
        </w:rPr>
        <w:t> </w:t>
      </w:r>
      <w:r>
        <w:rPr>
          <w:color w:val="313134"/>
          <w:sz w:val="24"/>
        </w:rPr>
        <w:t>added)</w:t>
      </w:r>
    </w:p>
    <w:p>
      <w:pPr>
        <w:pStyle w:val="BodyText"/>
        <w:spacing w:before="2"/>
        <w:rPr>
          <w:rFonts w:ascii="Arial"/>
          <w:sz w:val="25"/>
        </w:rPr>
      </w:pPr>
    </w:p>
    <w:p>
      <w:pPr>
        <w:pStyle w:val="ListParagraph"/>
        <w:numPr>
          <w:ilvl w:val="0"/>
          <w:numId w:val="2"/>
        </w:numPr>
        <w:tabs>
          <w:tab w:pos="735" w:val="left" w:leader="none"/>
        </w:tabs>
        <w:spacing w:line="252" w:lineRule="auto" w:before="0" w:after="0"/>
        <w:ind w:left="388" w:right="792" w:firstLine="1"/>
        <w:jc w:val="left"/>
        <w:rPr>
          <w:sz w:val="24"/>
        </w:rPr>
      </w:pPr>
      <w:r>
        <w:rPr>
          <w:i/>
          <w:color w:val="313134"/>
          <w:sz w:val="23"/>
        </w:rPr>
        <w:t>Riverwatch v. County of San Diego </w:t>
      </w:r>
      <w:r>
        <w:rPr>
          <w:color w:val="313134"/>
          <w:sz w:val="24"/>
        </w:rPr>
        <w:t>(1999) 76 Cal.App.4th </w:t>
      </w:r>
      <w:r>
        <w:rPr>
          <w:color w:val="313134"/>
          <w:spacing w:val="-5"/>
          <w:sz w:val="24"/>
        </w:rPr>
        <w:t>1428</w:t>
      </w:r>
      <w:r>
        <w:rPr>
          <w:color w:val="4F4F4F"/>
          <w:spacing w:val="-5"/>
          <w:sz w:val="24"/>
        </w:rPr>
        <w:t>, </w:t>
      </w:r>
      <w:r>
        <w:rPr>
          <w:color w:val="313134"/>
          <w:sz w:val="24"/>
        </w:rPr>
        <w:t>1439 (emphasis added) (d</w:t>
      </w:r>
      <w:r>
        <w:rPr>
          <w:color w:val="4F4F4F"/>
          <w:sz w:val="24"/>
        </w:rPr>
        <w:t>i</w:t>
      </w:r>
      <w:r>
        <w:rPr>
          <w:color w:val="313134"/>
          <w:sz w:val="24"/>
        </w:rPr>
        <w:t>scuss</w:t>
      </w:r>
      <w:r>
        <w:rPr>
          <w:color w:val="4F4F4F"/>
          <w:sz w:val="24"/>
        </w:rPr>
        <w:t>i</w:t>
      </w:r>
      <w:r>
        <w:rPr>
          <w:color w:val="313134"/>
          <w:sz w:val="24"/>
        </w:rPr>
        <w:t>ng effect of Legislature's enactment</w:t>
      </w:r>
      <w:r>
        <w:rPr>
          <w:color w:val="313134"/>
          <w:spacing w:val="16"/>
          <w:sz w:val="24"/>
        </w:rPr>
        <w:t> </w:t>
      </w:r>
      <w:r>
        <w:rPr>
          <w:color w:val="313134"/>
          <w:sz w:val="24"/>
        </w:rPr>
        <w:t>of SB </w:t>
      </w:r>
      <w:r>
        <w:rPr>
          <w:color w:val="313134"/>
          <w:spacing w:val="-5"/>
          <w:sz w:val="24"/>
        </w:rPr>
        <w:t>no</w:t>
      </w:r>
      <w:r>
        <w:rPr>
          <w:color w:val="676767"/>
          <w:spacing w:val="-5"/>
          <w:sz w:val="24"/>
        </w:rPr>
        <w:t>. </w:t>
      </w:r>
      <w:r>
        <w:rPr>
          <w:color w:val="313134"/>
          <w:sz w:val="24"/>
        </w:rPr>
        <w:t>2005)</w:t>
      </w:r>
    </w:p>
    <w:p>
      <w:pPr>
        <w:pStyle w:val="BodyText"/>
        <w:spacing w:before="5"/>
        <w:rPr>
          <w:rFonts w:ascii="Arial"/>
          <w:sz w:val="23"/>
        </w:rPr>
      </w:pPr>
    </w:p>
    <w:p>
      <w:pPr>
        <w:pStyle w:val="Heading1"/>
        <w:numPr>
          <w:ilvl w:val="0"/>
          <w:numId w:val="2"/>
        </w:numPr>
        <w:tabs>
          <w:tab w:pos="733" w:val="left" w:leader="none"/>
        </w:tabs>
        <w:spacing w:line="240" w:lineRule="auto" w:before="0" w:after="0"/>
        <w:ind w:left="732" w:right="0" w:hanging="342"/>
        <w:jc w:val="left"/>
      </w:pPr>
      <w:r>
        <w:rPr>
          <w:color w:val="313134"/>
        </w:rPr>
        <w:t>Permit Streamlining </w:t>
      </w:r>
      <w:r>
        <w:rPr>
          <w:color w:val="313134"/>
          <w:spacing w:val="3"/>
        </w:rPr>
        <w:t>Act</w:t>
      </w:r>
      <w:r>
        <w:rPr>
          <w:color w:val="4F4F4F"/>
          <w:spacing w:val="3"/>
        </w:rPr>
        <w:t>, </w:t>
      </w:r>
      <w:r>
        <w:rPr>
          <w:color w:val="313134"/>
        </w:rPr>
        <w:t>Gov. Code section 65943(a) (emphasis</w:t>
      </w:r>
      <w:r>
        <w:rPr>
          <w:color w:val="313134"/>
          <w:spacing w:val="35"/>
        </w:rPr>
        <w:t> </w:t>
      </w:r>
      <w:r>
        <w:rPr>
          <w:color w:val="313134"/>
        </w:rPr>
        <w:t>added)</w:t>
      </w:r>
    </w:p>
    <w:p>
      <w:pPr>
        <w:spacing w:after="0" w:line="240" w:lineRule="auto"/>
        <w:jc w:val="left"/>
        <w:sectPr>
          <w:footerReference w:type="default" r:id="rId7"/>
          <w:pgSz w:w="12240" w:h="15840"/>
          <w:pgMar w:footer="0" w:header="0" w:top="1280" w:bottom="280" w:left="960" w:right="960"/>
        </w:sectPr>
      </w:pPr>
    </w:p>
    <w:p>
      <w:pPr>
        <w:pStyle w:val="BodyText"/>
        <w:rPr>
          <w:rFonts w:ascii="Arial"/>
        </w:rPr>
      </w:pPr>
    </w:p>
    <w:p>
      <w:pPr>
        <w:pStyle w:val="BodyText"/>
        <w:rPr>
          <w:rFonts w:ascii="Arial"/>
        </w:rPr>
      </w:pPr>
    </w:p>
    <w:p>
      <w:pPr>
        <w:pStyle w:val="BodyText"/>
        <w:rPr>
          <w:rFonts w:ascii="Arial"/>
        </w:rPr>
      </w:pPr>
    </w:p>
    <w:p>
      <w:pPr>
        <w:pStyle w:val="BodyText"/>
        <w:spacing w:before="7"/>
        <w:rPr>
          <w:rFonts w:ascii="Arial"/>
          <w:sz w:val="23"/>
        </w:rPr>
      </w:pPr>
    </w:p>
    <w:p>
      <w:pPr>
        <w:spacing w:before="91"/>
        <w:ind w:left="1852" w:right="1853" w:firstLine="0"/>
        <w:jc w:val="center"/>
        <w:rPr>
          <w:rFonts w:ascii="Arial"/>
          <w:sz w:val="28"/>
        </w:rPr>
      </w:pPr>
      <w:r>
        <w:rPr>
          <w:rFonts w:ascii="Arial"/>
          <w:color w:val="26282A"/>
          <w:sz w:val="28"/>
          <w:u w:val="thick" w:color="26282A"/>
        </w:rPr>
        <w:t>FIRST ATTACHMENT</w:t>
      </w:r>
    </w:p>
    <w:p>
      <w:pPr>
        <w:pStyle w:val="BodyText"/>
        <w:rPr>
          <w:rFonts w:ascii="Arial"/>
        </w:rPr>
      </w:pPr>
    </w:p>
    <w:p>
      <w:pPr>
        <w:pStyle w:val="BodyText"/>
        <w:rPr>
          <w:rFonts w:ascii="Arial"/>
        </w:rPr>
      </w:pPr>
    </w:p>
    <w:p>
      <w:pPr>
        <w:pStyle w:val="BodyText"/>
        <w:spacing w:before="8"/>
        <w:rPr>
          <w:rFonts w:ascii="Arial"/>
          <w:sz w:val="28"/>
        </w:rPr>
      </w:pPr>
    </w:p>
    <w:p>
      <w:pPr>
        <w:spacing w:before="90"/>
        <w:ind w:left="480" w:right="1026" w:hanging="1"/>
        <w:jc w:val="left"/>
        <w:rPr>
          <w:rFonts w:ascii="Arial" w:hAnsi="Arial"/>
          <w:sz w:val="28"/>
        </w:rPr>
      </w:pPr>
      <w:r>
        <w:rPr>
          <w:rFonts w:ascii="Arial" w:hAnsi="Arial"/>
          <w:color w:val="26282A"/>
          <w:sz w:val="28"/>
        </w:rPr>
        <w:t>Senate Bill no. 2005 (1998 Session) disapproving Bickel case and declaring the Legislative intent that the deadlines under the Permit Streamlining Act, Gov. Code section 65957.5, to be “established for a public reason” and “cannot be waived or circumvented by private act or agreement.”</w:t>
      </w:r>
    </w:p>
    <w:p>
      <w:pPr>
        <w:pStyle w:val="BodyText"/>
        <w:spacing w:before="6"/>
        <w:rPr>
          <w:rFonts w:ascii="Arial"/>
          <w:sz w:val="24"/>
        </w:rPr>
      </w:pPr>
    </w:p>
    <w:p>
      <w:pPr>
        <w:spacing w:before="0"/>
        <w:ind w:left="480" w:right="0" w:firstLine="0"/>
        <w:jc w:val="left"/>
        <w:rPr>
          <w:rFonts w:ascii="Arial"/>
          <w:sz w:val="28"/>
        </w:rPr>
      </w:pPr>
      <w:r>
        <w:rPr>
          <w:rFonts w:ascii="Arial"/>
          <w:color w:val="26282A"/>
          <w:sz w:val="28"/>
        </w:rPr>
        <w:t>(see p. 2-3)</w:t>
      </w:r>
    </w:p>
    <w:p>
      <w:pPr>
        <w:spacing w:after="0"/>
        <w:jc w:val="left"/>
        <w:rPr>
          <w:rFonts w:ascii="Arial"/>
          <w:sz w:val="28"/>
        </w:rPr>
        <w:sectPr>
          <w:footerReference w:type="default" r:id="rId8"/>
          <w:pgSz w:w="12240" w:h="15840"/>
          <w:pgMar w:footer="0" w:header="0" w:top="1500" w:bottom="280" w:left="960" w:right="960"/>
        </w:sectPr>
      </w:pPr>
    </w:p>
    <w:p>
      <w:pPr>
        <w:spacing w:before="76"/>
        <w:ind w:left="120" w:right="0" w:firstLine="0"/>
        <w:jc w:val="left"/>
        <w:rPr>
          <w:rFonts w:ascii="Arial" w:hAnsi="Arial"/>
          <w:b/>
          <w:sz w:val="18"/>
        </w:rPr>
      </w:pPr>
      <w:r>
        <w:rPr/>
        <w:pict>
          <v:group style="position:absolute;margin-left:54pt;margin-top:17.342884pt;width:504pt;height:1pt;mso-position-horizontal-relative:page;mso-position-vertical-relative:paragraph;z-index:-251658240;mso-wrap-distance-left:0;mso-wrap-distance-right:0" coordorigin="1080,347" coordsize="10080,20">
            <v:line style="position:absolute" from="1080,356" to="10460,356" stroked="true" strokeweight=".959pt" strokecolor="#acacac">
              <v:stroke dashstyle="solid"/>
            </v:line>
            <v:rect style="position:absolute;left:10460;top:346;width:20;height:20" filled="true" fillcolor="#acacac" stroked="false">
              <v:fill type="solid"/>
            </v:rect>
            <v:line style="position:absolute" from="10480,356" to="11160,356" stroked="true" strokeweight=".959pt" strokecolor="#acacac">
              <v:stroke dashstyle="solid"/>
            </v:line>
            <w10:wrap type="topAndBottom"/>
          </v:group>
        </w:pict>
      </w:r>
      <w:r>
        <w:rPr>
          <w:rFonts w:ascii="Arial" w:hAnsi="Arial"/>
          <w:b/>
          <w:color w:val="545454"/>
          <w:sz w:val="18"/>
        </w:rPr>
        <w:t>LOCAL AGENCIES—DEVELOPMENT PROJECTS—PERMITS, 1998 Cal. Legis.</w:t>
      </w:r>
      <w:r>
        <w:rPr>
          <w:rFonts w:ascii="Arial" w:hAnsi="Arial"/>
          <w:b/>
          <w:color w:val="545454"/>
          <w:spacing w:val="-26"/>
          <w:sz w:val="18"/>
        </w:rPr>
        <w:t> </w:t>
      </w:r>
      <w:r>
        <w:rPr>
          <w:rFonts w:ascii="Arial" w:hAnsi="Arial"/>
          <w:b/>
          <w:color w:val="545454"/>
          <w:sz w:val="18"/>
        </w:rPr>
        <w:t>Serv....</w:t>
      </w:r>
    </w:p>
    <w:p>
      <w:pPr>
        <w:pStyle w:val="BodyText"/>
        <w:rPr>
          <w:rFonts w:ascii="Arial"/>
          <w:b/>
        </w:rPr>
      </w:pPr>
    </w:p>
    <w:p>
      <w:pPr>
        <w:pStyle w:val="BodyText"/>
        <w:rPr>
          <w:rFonts w:ascii="Arial"/>
          <w:b/>
        </w:rPr>
      </w:pPr>
    </w:p>
    <w:p>
      <w:pPr>
        <w:pStyle w:val="BodyText"/>
        <w:rPr>
          <w:rFonts w:ascii="Arial"/>
          <w:b/>
        </w:rPr>
      </w:pPr>
    </w:p>
    <w:p>
      <w:pPr>
        <w:pStyle w:val="BodyText"/>
        <w:spacing w:before="4"/>
        <w:rPr>
          <w:rFonts w:ascii="Arial"/>
          <w:b/>
          <w:sz w:val="19"/>
        </w:rPr>
      </w:pPr>
    </w:p>
    <w:p>
      <w:pPr>
        <w:pStyle w:val="BodyText"/>
        <w:ind w:left="1852" w:right="1852"/>
        <w:jc w:val="center"/>
        <w:rPr>
          <w:rFonts w:ascii="Georgia"/>
        </w:rPr>
      </w:pPr>
      <w:r>
        <w:rPr>
          <w:rFonts w:ascii="Georgia"/>
        </w:rPr>
        <w:t>1998 Cal. Legis. Serv. Ch. 283 (S.B. 2005)</w:t>
      </w:r>
      <w:r>
        <w:rPr>
          <w:rFonts w:ascii="Georgia"/>
          <w:spacing w:val="-19"/>
        </w:rPr>
        <w:t> </w:t>
      </w:r>
      <w:r>
        <w:rPr>
          <w:rFonts w:ascii="Georgia"/>
        </w:rPr>
        <w:t>(WEST)</w:t>
      </w:r>
    </w:p>
    <w:p>
      <w:pPr>
        <w:pStyle w:val="BodyText"/>
        <w:rPr>
          <w:rFonts w:ascii="Georgia"/>
          <w:sz w:val="22"/>
        </w:rPr>
      </w:pPr>
    </w:p>
    <w:p>
      <w:pPr>
        <w:pStyle w:val="BodyText"/>
        <w:spacing w:before="148"/>
        <w:ind w:left="1852" w:right="1852"/>
        <w:jc w:val="center"/>
      </w:pPr>
      <w:r>
        <w:rPr/>
        <w:t>CALIFORNIA 1998 LEGISLATIVE SERVICE</w:t>
      </w:r>
    </w:p>
    <w:p>
      <w:pPr>
        <w:pStyle w:val="BodyText"/>
        <w:spacing w:before="6"/>
        <w:rPr>
          <w:sz w:val="17"/>
        </w:rPr>
      </w:pPr>
    </w:p>
    <w:p>
      <w:pPr>
        <w:pStyle w:val="BodyText"/>
        <w:spacing w:line="448" w:lineRule="auto"/>
        <w:ind w:left="2966" w:right="2946" w:firstLine="535"/>
      </w:pPr>
      <w:r>
        <w:rPr/>
        <w:t>1998 Portion of 1997-98 Regular Session Additions are indicated by &lt;&lt;+ Text +&gt;&gt;; deletions by</w:t>
      </w:r>
    </w:p>
    <w:p>
      <w:pPr>
        <w:pStyle w:val="BodyText"/>
        <w:spacing w:line="229" w:lineRule="exact"/>
        <w:ind w:left="2662"/>
      </w:pPr>
      <w:r>
        <w:rPr/>
        <w:t>&lt;&lt;- * * * -&gt;&gt;. Changes in tables are made but not highlighted.</w:t>
      </w:r>
    </w:p>
    <w:p>
      <w:pPr>
        <w:pStyle w:val="BodyText"/>
        <w:spacing w:before="5"/>
        <w:rPr>
          <w:sz w:val="17"/>
        </w:rPr>
      </w:pPr>
    </w:p>
    <w:p>
      <w:pPr>
        <w:pStyle w:val="BodyText"/>
        <w:ind w:left="1852" w:right="1852"/>
        <w:jc w:val="center"/>
      </w:pPr>
      <w:r>
        <w:rPr/>
        <w:t>CHAPTER 283</w:t>
      </w:r>
    </w:p>
    <w:p>
      <w:pPr>
        <w:pStyle w:val="BodyText"/>
        <w:spacing w:before="4"/>
        <w:rPr>
          <w:sz w:val="17"/>
        </w:rPr>
      </w:pPr>
    </w:p>
    <w:p>
      <w:pPr>
        <w:pStyle w:val="BodyText"/>
        <w:spacing w:line="230" w:lineRule="exact"/>
        <w:ind w:left="4590"/>
      </w:pPr>
      <w:r>
        <w:rPr/>
        <w:t>S.B. No. 2005</w:t>
      </w:r>
    </w:p>
    <w:p>
      <w:pPr>
        <w:pStyle w:val="BodyText"/>
        <w:spacing w:line="230" w:lineRule="exact"/>
        <w:ind w:left="1852" w:right="1851"/>
        <w:jc w:val="center"/>
      </w:pPr>
      <w:r>
        <w:rPr/>
        <w:t>LOCAL AGENCIES—DEVELOPMENT PROJECTS—PERMITS</w:t>
      </w:r>
    </w:p>
    <w:p>
      <w:pPr>
        <w:pStyle w:val="BodyText"/>
        <w:rPr>
          <w:sz w:val="22"/>
        </w:rPr>
      </w:pPr>
    </w:p>
    <w:p>
      <w:pPr>
        <w:pStyle w:val="BodyText"/>
        <w:spacing w:line="655" w:lineRule="auto" w:before="149"/>
        <w:ind w:left="120" w:right="1196" w:firstLine="179"/>
      </w:pPr>
      <w:r>
        <w:rPr/>
        <w:t>AN ACT to amend Sections 65940.5, 65950, 65951, and 65957 of the Government Code, relating to land use. [Approved by Governor August 10, 1998.]</w:t>
      </w:r>
    </w:p>
    <w:p>
      <w:pPr>
        <w:pStyle w:val="BodyText"/>
        <w:spacing w:before="3"/>
        <w:ind w:left="120"/>
      </w:pPr>
      <w:r>
        <w:rPr/>
        <w:t>[Filed with Secretary of State August 10, 1998.]</w:t>
      </w:r>
    </w:p>
    <w:p>
      <w:pPr>
        <w:pStyle w:val="BodyText"/>
        <w:rPr>
          <w:sz w:val="22"/>
        </w:rPr>
      </w:pPr>
    </w:p>
    <w:p>
      <w:pPr>
        <w:pStyle w:val="BodyText"/>
        <w:spacing w:before="147"/>
        <w:ind w:left="1852" w:right="1851"/>
        <w:jc w:val="center"/>
      </w:pPr>
      <w:r>
        <w:rPr/>
        <w:t>LEGISLATIVE COUNSEL’S DIGEST</w:t>
      </w:r>
    </w:p>
    <w:p>
      <w:pPr>
        <w:pStyle w:val="BodyText"/>
        <w:rPr>
          <w:sz w:val="22"/>
        </w:rPr>
      </w:pPr>
    </w:p>
    <w:p>
      <w:pPr>
        <w:pStyle w:val="BodyText"/>
        <w:spacing w:before="147"/>
        <w:ind w:left="300"/>
      </w:pPr>
      <w:r>
        <w:rPr/>
        <w:t>SB 2005, Kopp. Permit Streamlining Act.</w:t>
      </w:r>
    </w:p>
    <w:p>
      <w:pPr>
        <w:pStyle w:val="BodyText"/>
        <w:rPr>
          <w:sz w:val="22"/>
        </w:rPr>
      </w:pPr>
    </w:p>
    <w:p>
      <w:pPr>
        <w:pStyle w:val="ListParagraph"/>
        <w:numPr>
          <w:ilvl w:val="0"/>
          <w:numId w:val="3"/>
        </w:numPr>
        <w:tabs>
          <w:tab w:pos="635" w:val="left" w:leader="none"/>
        </w:tabs>
        <w:spacing w:line="240" w:lineRule="auto" w:before="147" w:after="0"/>
        <w:ind w:left="300" w:right="113" w:firstLine="0"/>
        <w:jc w:val="both"/>
        <w:rPr>
          <w:rFonts w:ascii="Times New Roman"/>
          <w:sz w:val="20"/>
        </w:rPr>
      </w:pPr>
      <w:r>
        <w:rPr>
          <w:rFonts w:ascii="Times New Roman"/>
          <w:sz w:val="20"/>
        </w:rPr>
        <w:t>Under the Permit Streamlining Act, a state or local agency and a public agency that is the lead agency for a development project are required to act upon an application for a development project within specified time periods prescribed by the act and may not include a waiver of these time periods, as specified, as a condition of accepting or processing the application for a development</w:t>
      </w:r>
      <w:r>
        <w:rPr>
          <w:rFonts w:ascii="Times New Roman"/>
          <w:spacing w:val="-7"/>
          <w:sz w:val="20"/>
        </w:rPr>
        <w:t> </w:t>
      </w:r>
      <w:r>
        <w:rPr>
          <w:rFonts w:ascii="Times New Roman"/>
          <w:sz w:val="20"/>
        </w:rPr>
        <w:t>project.</w:t>
      </w:r>
    </w:p>
    <w:p>
      <w:pPr>
        <w:pStyle w:val="BodyText"/>
        <w:rPr>
          <w:sz w:val="22"/>
        </w:rPr>
      </w:pPr>
    </w:p>
    <w:p>
      <w:pPr>
        <w:pStyle w:val="BodyText"/>
        <w:spacing w:before="148"/>
        <w:ind w:left="300" w:right="157"/>
      </w:pPr>
      <w:r>
        <w:rPr/>
        <w:t>This bill would add the term “extension” to these provisions and would declare the Legislature’s intent to clarify that the act</w:t>
      </w:r>
      <w:r>
        <w:rPr>
          <w:spacing w:val="-3"/>
        </w:rPr>
        <w:t> </w:t>
      </w:r>
      <w:r>
        <w:rPr/>
        <w:t>does</w:t>
      </w:r>
      <w:r>
        <w:rPr>
          <w:spacing w:val="-3"/>
        </w:rPr>
        <w:t> </w:t>
      </w:r>
      <w:r>
        <w:rPr/>
        <w:t>not</w:t>
      </w:r>
      <w:r>
        <w:rPr>
          <w:spacing w:val="-4"/>
        </w:rPr>
        <w:t> </w:t>
      </w:r>
      <w:r>
        <w:rPr/>
        <w:t>provide</w:t>
      </w:r>
      <w:r>
        <w:rPr>
          <w:spacing w:val="-3"/>
        </w:rPr>
        <w:t> </w:t>
      </w:r>
      <w:r>
        <w:rPr/>
        <w:t>for</w:t>
      </w:r>
      <w:r>
        <w:rPr>
          <w:spacing w:val="-2"/>
        </w:rPr>
        <w:t> </w:t>
      </w:r>
      <w:r>
        <w:rPr/>
        <w:t>the</w:t>
      </w:r>
      <w:r>
        <w:rPr>
          <w:spacing w:val="-3"/>
        </w:rPr>
        <w:t> </w:t>
      </w:r>
      <w:r>
        <w:rPr/>
        <w:t>application</w:t>
      </w:r>
      <w:r>
        <w:rPr>
          <w:spacing w:val="-3"/>
        </w:rPr>
        <w:t> </w:t>
      </w:r>
      <w:r>
        <w:rPr/>
        <w:t>of</w:t>
      </w:r>
      <w:r>
        <w:rPr>
          <w:spacing w:val="-2"/>
        </w:rPr>
        <w:t> </w:t>
      </w:r>
      <w:r>
        <w:rPr/>
        <w:t>the</w:t>
      </w:r>
      <w:r>
        <w:rPr>
          <w:spacing w:val="-2"/>
        </w:rPr>
        <w:t> </w:t>
      </w:r>
      <w:r>
        <w:rPr/>
        <w:t>common</w:t>
      </w:r>
      <w:r>
        <w:rPr>
          <w:spacing w:val="-2"/>
        </w:rPr>
        <w:t> </w:t>
      </w:r>
      <w:r>
        <w:rPr/>
        <w:t>law</w:t>
      </w:r>
      <w:r>
        <w:rPr>
          <w:spacing w:val="-2"/>
        </w:rPr>
        <w:t> </w:t>
      </w:r>
      <w:r>
        <w:rPr/>
        <w:t>doctrine</w:t>
      </w:r>
      <w:r>
        <w:rPr>
          <w:spacing w:val="-3"/>
        </w:rPr>
        <w:t> </w:t>
      </w:r>
      <w:r>
        <w:rPr/>
        <w:t>of</w:t>
      </w:r>
      <w:r>
        <w:rPr>
          <w:spacing w:val="-3"/>
        </w:rPr>
        <w:t> </w:t>
      </w:r>
      <w:r>
        <w:rPr/>
        <w:t>waiver</w:t>
      </w:r>
      <w:r>
        <w:rPr>
          <w:spacing w:val="-3"/>
        </w:rPr>
        <w:t> </w:t>
      </w:r>
      <w:r>
        <w:rPr/>
        <w:t>by</w:t>
      </w:r>
      <w:r>
        <w:rPr>
          <w:spacing w:val="-3"/>
        </w:rPr>
        <w:t> </w:t>
      </w:r>
      <w:r>
        <w:rPr/>
        <w:t>either</w:t>
      </w:r>
      <w:r>
        <w:rPr>
          <w:spacing w:val="-2"/>
        </w:rPr>
        <w:t> </w:t>
      </w:r>
      <w:r>
        <w:rPr/>
        <w:t>its</w:t>
      </w:r>
      <w:r>
        <w:rPr>
          <w:spacing w:val="-1"/>
        </w:rPr>
        <w:t> </w:t>
      </w:r>
      <w:r>
        <w:rPr/>
        <w:t>purpose</w:t>
      </w:r>
      <w:r>
        <w:rPr>
          <w:spacing w:val="-3"/>
        </w:rPr>
        <w:t> </w:t>
      </w:r>
      <w:r>
        <w:rPr/>
        <w:t>or</w:t>
      </w:r>
      <w:r>
        <w:rPr>
          <w:spacing w:val="-3"/>
        </w:rPr>
        <w:t> </w:t>
      </w:r>
      <w:r>
        <w:rPr/>
        <w:t>statutory</w:t>
      </w:r>
      <w:r>
        <w:rPr>
          <w:spacing w:val="-3"/>
        </w:rPr>
        <w:t> </w:t>
      </w:r>
      <w:r>
        <w:rPr/>
        <w:t>language.</w:t>
      </w:r>
    </w:p>
    <w:p>
      <w:pPr>
        <w:pStyle w:val="BodyText"/>
        <w:rPr>
          <w:sz w:val="22"/>
        </w:rPr>
      </w:pPr>
    </w:p>
    <w:p>
      <w:pPr>
        <w:pStyle w:val="ListParagraph"/>
        <w:numPr>
          <w:ilvl w:val="0"/>
          <w:numId w:val="3"/>
        </w:numPr>
        <w:tabs>
          <w:tab w:pos="639" w:val="left" w:leader="none"/>
        </w:tabs>
        <w:spacing w:line="240" w:lineRule="auto" w:before="147" w:after="0"/>
        <w:ind w:left="300" w:right="115" w:firstLine="0"/>
        <w:jc w:val="both"/>
        <w:rPr>
          <w:rFonts w:ascii="Times New Roman"/>
          <w:sz w:val="20"/>
        </w:rPr>
      </w:pPr>
      <w:r>
        <w:rPr>
          <w:rFonts w:ascii="Times New Roman"/>
          <w:sz w:val="20"/>
        </w:rPr>
        <w:t>Existing law authorizes a lead agency to waive specified time limits where a combined environmental impact report-environmental impact statement is being prepared on a development project, and requires the lead agency to approve or disapprove the project within 60 days after the statement has been completed and</w:t>
      </w:r>
      <w:r>
        <w:rPr>
          <w:rFonts w:ascii="Times New Roman"/>
          <w:spacing w:val="-17"/>
          <w:sz w:val="20"/>
        </w:rPr>
        <w:t> </w:t>
      </w:r>
      <w:r>
        <w:rPr>
          <w:rFonts w:ascii="Times New Roman"/>
          <w:sz w:val="20"/>
        </w:rPr>
        <w:t>adopted.</w:t>
      </w:r>
    </w:p>
    <w:p>
      <w:pPr>
        <w:pStyle w:val="BodyText"/>
        <w:rPr>
          <w:sz w:val="22"/>
        </w:rPr>
      </w:pPr>
    </w:p>
    <w:p>
      <w:pPr>
        <w:pStyle w:val="BodyText"/>
        <w:spacing w:before="147"/>
        <w:ind w:left="299" w:right="157"/>
      </w:pPr>
      <w:r>
        <w:rPr/>
        <w:t>This bill would repeal the lead agency’s authority to grant a waiver and would extend the period within which to approve or disapprove the project to 90</w:t>
      </w:r>
      <w:r>
        <w:rPr>
          <w:spacing w:val="-9"/>
        </w:rPr>
        <w:t> </w:t>
      </w:r>
      <w:r>
        <w:rPr/>
        <w:t>days.</w:t>
      </w:r>
    </w:p>
    <w:p>
      <w:pPr>
        <w:pStyle w:val="BodyText"/>
        <w:rPr>
          <w:sz w:val="22"/>
        </w:rPr>
      </w:pPr>
    </w:p>
    <w:p>
      <w:pPr>
        <w:pStyle w:val="ListParagraph"/>
        <w:numPr>
          <w:ilvl w:val="0"/>
          <w:numId w:val="3"/>
        </w:numPr>
        <w:tabs>
          <w:tab w:pos="614" w:val="left" w:leader="none"/>
        </w:tabs>
        <w:spacing w:line="240" w:lineRule="auto" w:before="148" w:after="0"/>
        <w:ind w:left="299" w:right="118" w:firstLine="0"/>
        <w:jc w:val="both"/>
        <w:rPr>
          <w:rFonts w:ascii="Times New Roman" w:hAnsi="Times New Roman"/>
          <w:sz w:val="20"/>
        </w:rPr>
      </w:pPr>
      <w:r>
        <w:rPr>
          <w:rFonts w:ascii="Times New Roman" w:hAnsi="Times New Roman"/>
          <w:sz w:val="20"/>
        </w:rPr>
        <w:t>Existing law also authorizes a lead agency and a project applicant to mutually agree to waive these specified time periods and to agree to a one-time 90–day extension of certain time limits specified by</w:t>
      </w:r>
      <w:r>
        <w:rPr>
          <w:rFonts w:ascii="Times New Roman" w:hAnsi="Times New Roman"/>
          <w:spacing w:val="-18"/>
          <w:sz w:val="20"/>
        </w:rPr>
        <w:t> </w:t>
      </w:r>
      <w:r>
        <w:rPr>
          <w:rFonts w:ascii="Times New Roman" w:hAnsi="Times New Roman"/>
          <w:sz w:val="20"/>
        </w:rPr>
        <w:t>law.</w:t>
      </w:r>
    </w:p>
    <w:p>
      <w:pPr>
        <w:pStyle w:val="BodyText"/>
        <w:rPr>
          <w:sz w:val="22"/>
        </w:rPr>
      </w:pPr>
    </w:p>
    <w:p>
      <w:pPr>
        <w:pStyle w:val="BodyText"/>
        <w:spacing w:before="147"/>
        <w:ind w:left="299"/>
      </w:pPr>
      <w:r>
        <w:rPr/>
        <w:t>This bill instead would authorize the lead agency and the project applicant to extend these time limits once upon their</w:t>
      </w:r>
    </w:p>
    <w:p>
      <w:pPr>
        <w:spacing w:after="0"/>
        <w:sectPr>
          <w:footerReference w:type="default" r:id="rId9"/>
          <w:pgSz w:w="12240" w:h="15840"/>
          <w:pgMar w:footer="1026" w:header="0" w:top="1040" w:bottom="1220" w:left="960" w:right="960"/>
          <w:pgNumType w:start="1"/>
        </w:sectPr>
      </w:pPr>
    </w:p>
    <w:p>
      <w:pPr>
        <w:spacing w:before="76"/>
        <w:ind w:left="120" w:right="0" w:firstLine="0"/>
        <w:jc w:val="left"/>
        <w:rPr>
          <w:rFonts w:ascii="Arial" w:hAnsi="Arial"/>
          <w:b/>
          <w:sz w:val="18"/>
        </w:rPr>
      </w:pPr>
      <w:r>
        <w:rPr/>
        <w:pict>
          <v:group style="position:absolute;margin-left:54pt;margin-top:17.342884pt;width:504pt;height:1pt;mso-position-horizontal-relative:page;mso-position-vertical-relative:paragraph;z-index:-251657216;mso-wrap-distance-left:0;mso-wrap-distance-right:0" coordorigin="1080,347" coordsize="10080,20">
            <v:line style="position:absolute" from="1080,356" to="10460,356" stroked="true" strokeweight=".959pt" strokecolor="#acacac">
              <v:stroke dashstyle="solid"/>
            </v:line>
            <v:rect style="position:absolute;left:10460;top:346;width:20;height:20" filled="true" fillcolor="#acacac" stroked="false">
              <v:fill type="solid"/>
            </v:rect>
            <v:line style="position:absolute" from="10480,356" to="11160,356" stroked="true" strokeweight=".959pt" strokecolor="#acacac">
              <v:stroke dashstyle="solid"/>
            </v:line>
            <w10:wrap type="topAndBottom"/>
          </v:group>
        </w:pict>
      </w:r>
      <w:r>
        <w:rPr>
          <w:rFonts w:ascii="Arial" w:hAnsi="Arial"/>
          <w:b/>
          <w:color w:val="545454"/>
          <w:sz w:val="18"/>
        </w:rPr>
        <w:t>LOCAL AGENCIES—DEVELOPMENT PROJECTS—PERMITS, 1998 Cal. Legis. Serv....</w:t>
      </w:r>
    </w:p>
    <w:p>
      <w:pPr>
        <w:pStyle w:val="BodyText"/>
        <w:rPr>
          <w:rFonts w:ascii="Arial"/>
          <w:b/>
        </w:rPr>
      </w:pPr>
    </w:p>
    <w:p>
      <w:pPr>
        <w:pStyle w:val="BodyText"/>
        <w:spacing w:before="3"/>
        <w:rPr>
          <w:rFonts w:ascii="Arial"/>
          <w:b/>
          <w:sz w:val="19"/>
        </w:rPr>
      </w:pPr>
    </w:p>
    <w:p>
      <w:pPr>
        <w:pStyle w:val="BodyText"/>
        <w:spacing w:before="1"/>
        <w:ind w:left="299" w:right="410"/>
      </w:pPr>
      <w:r>
        <w:rPr/>
        <w:t>mutual written agreement for a period not to exceed 90 days from the date of the extension, and would provide that no other extensions, continuances, or waivers may be granted, except as</w:t>
      </w:r>
      <w:r>
        <w:rPr>
          <w:spacing w:val="-11"/>
        </w:rPr>
        <w:t> </w:t>
      </w:r>
      <w:r>
        <w:rPr/>
        <w:t>specified.</w:t>
      </w:r>
    </w:p>
    <w:p>
      <w:pPr>
        <w:pStyle w:val="BodyText"/>
        <w:rPr>
          <w:sz w:val="22"/>
        </w:rPr>
      </w:pPr>
    </w:p>
    <w:p>
      <w:pPr>
        <w:pStyle w:val="BodyText"/>
        <w:spacing w:line="448" w:lineRule="auto" w:before="146"/>
        <w:ind w:left="119" w:right="2853" w:firstLine="2751"/>
      </w:pPr>
      <w:r>
        <w:rPr/>
        <w:t>The people of the State of California do enact as follows: SECTION 1. Section 65940.5 of the Government Code is amended to read:</w:t>
      </w:r>
    </w:p>
    <w:p>
      <w:pPr>
        <w:pStyle w:val="BodyText"/>
        <w:ind w:left="1852" w:right="1852"/>
        <w:jc w:val="center"/>
      </w:pPr>
      <w:r>
        <w:rPr/>
        <w:t>&lt;&lt; CA GOVT § 65940.5 &gt;&gt;</w:t>
      </w:r>
    </w:p>
    <w:p>
      <w:pPr>
        <w:pStyle w:val="BodyText"/>
        <w:spacing w:before="4"/>
        <w:rPr>
          <w:sz w:val="17"/>
        </w:rPr>
      </w:pPr>
    </w:p>
    <w:p>
      <w:pPr>
        <w:pStyle w:val="BodyText"/>
        <w:ind w:left="119" w:right="118"/>
        <w:jc w:val="both"/>
      </w:pPr>
      <w:r>
        <w:rPr/>
        <w:t>65940.5. (a) No list compiled pursuant to Section 65940 shall include&lt;&lt;-* * *-&gt;&gt; &lt;&lt;+an extension or+&gt;&gt; waiver of the time periods prescribed by this chapter within which a state or local agency shall act upon an application for a development project.</w:t>
      </w:r>
    </w:p>
    <w:p>
      <w:pPr>
        <w:pStyle w:val="ListParagraph"/>
        <w:numPr>
          <w:ilvl w:val="0"/>
          <w:numId w:val="4"/>
        </w:numPr>
        <w:tabs>
          <w:tab w:pos="436" w:val="left" w:leader="none"/>
        </w:tabs>
        <w:spacing w:line="240" w:lineRule="auto" w:before="1" w:after="0"/>
        <w:ind w:left="119" w:right="119" w:firstLine="0"/>
        <w:jc w:val="both"/>
        <w:rPr>
          <w:rFonts w:ascii="Times New Roman"/>
          <w:sz w:val="20"/>
        </w:rPr>
      </w:pPr>
      <w:r>
        <w:rPr>
          <w:rFonts w:ascii="Times New Roman"/>
          <w:sz w:val="20"/>
        </w:rPr>
        <w:t>No application shall be deemed incomplete for lack of&lt;&lt;-* * *-&gt;&gt; &lt;&lt;+ an extension or+&gt;&gt; waiver of time periods prescribed by this chapter within which a state or local government agency shall act upon the</w:t>
      </w:r>
      <w:r>
        <w:rPr>
          <w:rFonts w:ascii="Times New Roman"/>
          <w:spacing w:val="-29"/>
          <w:sz w:val="20"/>
        </w:rPr>
        <w:t> </w:t>
      </w:r>
      <w:r>
        <w:rPr>
          <w:rFonts w:ascii="Times New Roman"/>
          <w:sz w:val="20"/>
        </w:rPr>
        <w:t>application.</w:t>
      </w:r>
    </w:p>
    <w:p>
      <w:pPr>
        <w:pStyle w:val="ListParagraph"/>
        <w:numPr>
          <w:ilvl w:val="0"/>
          <w:numId w:val="4"/>
        </w:numPr>
        <w:tabs>
          <w:tab w:pos="410" w:val="left" w:leader="none"/>
        </w:tabs>
        <w:spacing w:line="240" w:lineRule="auto" w:before="0" w:after="0"/>
        <w:ind w:left="119" w:right="116" w:firstLine="0"/>
        <w:jc w:val="both"/>
        <w:rPr>
          <w:rFonts w:ascii="Times New Roman"/>
          <w:sz w:val="20"/>
        </w:rPr>
      </w:pPr>
      <w:r>
        <w:rPr>
          <w:rFonts w:ascii="Times New Roman"/>
          <w:sz w:val="20"/>
        </w:rPr>
        <w:t>Except for the &lt;&lt;+extension+&gt;&gt; of the time limits pursuant to &lt;&lt;+ Section+&gt;&gt; 65950.1&lt;&lt;-* * *-&gt;&gt;, no public agency shall require&lt;&lt;-* * *-&gt;&gt; &lt;&lt;+an extension or+&gt;&gt; waiver of the time limits contained in this chapter as a condition of accepting or processing the application for a development</w:t>
      </w:r>
      <w:r>
        <w:rPr>
          <w:rFonts w:ascii="Times New Roman"/>
          <w:spacing w:val="-9"/>
          <w:sz w:val="20"/>
        </w:rPr>
        <w:t> </w:t>
      </w:r>
      <w:r>
        <w:rPr>
          <w:rFonts w:ascii="Times New Roman"/>
          <w:sz w:val="20"/>
        </w:rPr>
        <w:t>project.</w:t>
      </w:r>
    </w:p>
    <w:p>
      <w:pPr>
        <w:pStyle w:val="BodyText"/>
        <w:ind w:left="119"/>
        <w:jc w:val="both"/>
      </w:pPr>
      <w:r>
        <w:rPr/>
        <w:t>SEC. 2. Section 65950 of the Government Code is amended to read:</w:t>
      </w:r>
    </w:p>
    <w:p>
      <w:pPr>
        <w:pStyle w:val="BodyText"/>
        <w:spacing w:before="4"/>
        <w:rPr>
          <w:sz w:val="17"/>
        </w:rPr>
      </w:pPr>
    </w:p>
    <w:p>
      <w:pPr>
        <w:pStyle w:val="BodyText"/>
        <w:ind w:left="1852" w:right="1852"/>
        <w:jc w:val="center"/>
      </w:pPr>
      <w:r>
        <w:rPr/>
        <w:t>&lt;&lt; CA GOVT § 65950 &gt;&gt;</w:t>
      </w:r>
    </w:p>
    <w:p>
      <w:pPr>
        <w:pStyle w:val="BodyText"/>
        <w:spacing w:before="5"/>
        <w:rPr>
          <w:sz w:val="17"/>
        </w:rPr>
      </w:pPr>
    </w:p>
    <w:p>
      <w:pPr>
        <w:pStyle w:val="BodyText"/>
        <w:ind w:left="119" w:right="122"/>
        <w:jc w:val="both"/>
      </w:pPr>
      <w:r>
        <w:rPr/>
        <w:t>65950. (a) Any public agency that is the lead agency for a development project shall approve or disapprove the project within whichever of the following periods is applicable:</w:t>
      </w:r>
    </w:p>
    <w:p>
      <w:pPr>
        <w:pStyle w:val="ListParagraph"/>
        <w:numPr>
          <w:ilvl w:val="1"/>
          <w:numId w:val="4"/>
        </w:numPr>
        <w:tabs>
          <w:tab w:pos="436" w:val="left" w:leader="none"/>
        </w:tabs>
        <w:spacing w:line="240" w:lineRule="auto" w:before="0" w:after="0"/>
        <w:ind w:left="119" w:right="115" w:firstLine="0"/>
        <w:jc w:val="both"/>
        <w:rPr>
          <w:rFonts w:ascii="Times New Roman"/>
          <w:sz w:val="20"/>
        </w:rPr>
      </w:pPr>
      <w:r>
        <w:rPr>
          <w:rFonts w:ascii="Times New Roman"/>
          <w:sz w:val="20"/>
        </w:rPr>
        <w:t>One hundred eighty days from the date of certification by the lead agency of the environmental impact report if an environmental impact report is prepared pursuant to Section 21100 or 21151 of the Public Resources Code for the development</w:t>
      </w:r>
      <w:r>
        <w:rPr>
          <w:rFonts w:ascii="Times New Roman"/>
          <w:spacing w:val="-2"/>
          <w:sz w:val="20"/>
        </w:rPr>
        <w:t> </w:t>
      </w:r>
      <w:r>
        <w:rPr>
          <w:rFonts w:ascii="Times New Roman"/>
          <w:sz w:val="20"/>
        </w:rPr>
        <w:t>project.</w:t>
      </w:r>
    </w:p>
    <w:p>
      <w:pPr>
        <w:pStyle w:val="ListParagraph"/>
        <w:numPr>
          <w:ilvl w:val="1"/>
          <w:numId w:val="4"/>
        </w:numPr>
        <w:tabs>
          <w:tab w:pos="409" w:val="left" w:leader="none"/>
        </w:tabs>
        <w:spacing w:line="240" w:lineRule="auto" w:before="0" w:after="0"/>
        <w:ind w:left="119" w:right="119" w:firstLine="0"/>
        <w:jc w:val="both"/>
        <w:rPr>
          <w:rFonts w:ascii="Times New Roman"/>
          <w:sz w:val="20"/>
        </w:rPr>
      </w:pPr>
      <w:r>
        <w:rPr>
          <w:rFonts w:ascii="Times New Roman"/>
          <w:sz w:val="20"/>
        </w:rPr>
        <w:t>Sixty days from the date of adoption by the lead agency of the negative declaration if a negative declaration is completed and adopted for the development</w:t>
      </w:r>
      <w:r>
        <w:rPr>
          <w:rFonts w:ascii="Times New Roman"/>
          <w:spacing w:val="-6"/>
          <w:sz w:val="20"/>
        </w:rPr>
        <w:t> </w:t>
      </w:r>
      <w:r>
        <w:rPr>
          <w:rFonts w:ascii="Times New Roman"/>
          <w:sz w:val="20"/>
        </w:rPr>
        <w:t>project.</w:t>
      </w:r>
    </w:p>
    <w:p>
      <w:pPr>
        <w:pStyle w:val="ListParagraph"/>
        <w:numPr>
          <w:ilvl w:val="1"/>
          <w:numId w:val="4"/>
        </w:numPr>
        <w:tabs>
          <w:tab w:pos="438" w:val="left" w:leader="none"/>
        </w:tabs>
        <w:spacing w:line="240" w:lineRule="auto" w:before="1" w:after="0"/>
        <w:ind w:left="119" w:right="115" w:firstLine="0"/>
        <w:jc w:val="both"/>
        <w:rPr>
          <w:rFonts w:ascii="Times New Roman"/>
          <w:sz w:val="20"/>
        </w:rPr>
      </w:pPr>
      <w:r>
        <w:rPr>
          <w:rFonts w:ascii="Times New Roman"/>
          <w:sz w:val="20"/>
        </w:rPr>
        <w:t>Sixty days from the determination by the lead agency that the project is exempt from the California Environmental Quality Act (Division 13 (commencing with Section 21000) of the Public Resources Code) if the project is exempt from the California Environmental Quality</w:t>
      </w:r>
      <w:r>
        <w:rPr>
          <w:rFonts w:ascii="Times New Roman"/>
          <w:spacing w:val="-3"/>
          <w:sz w:val="20"/>
        </w:rPr>
        <w:t> </w:t>
      </w:r>
      <w:r>
        <w:rPr>
          <w:rFonts w:ascii="Times New Roman"/>
          <w:sz w:val="20"/>
        </w:rPr>
        <w:t>Act.</w:t>
      </w:r>
    </w:p>
    <w:p>
      <w:pPr>
        <w:pStyle w:val="ListParagraph"/>
        <w:numPr>
          <w:ilvl w:val="0"/>
          <w:numId w:val="5"/>
        </w:numPr>
        <w:tabs>
          <w:tab w:pos="410" w:val="left" w:leader="none"/>
        </w:tabs>
        <w:spacing w:line="240" w:lineRule="auto" w:before="0" w:after="0"/>
        <w:ind w:left="119" w:right="117" w:firstLine="0"/>
        <w:jc w:val="both"/>
        <w:rPr>
          <w:rFonts w:ascii="Times New Roman"/>
          <w:sz w:val="20"/>
        </w:rPr>
      </w:pPr>
      <w:r>
        <w:rPr>
          <w:rFonts w:ascii="Times New Roman"/>
          <w:sz w:val="20"/>
        </w:rPr>
        <w:t>Nothing in this section precludes a project applicant and a public agency from mutually agreeing &lt;&lt;+in writing+&gt;&gt; to an extension of any time limit provided by this section &lt;&lt;+pursuant to Section</w:t>
      </w:r>
      <w:r>
        <w:rPr>
          <w:rFonts w:ascii="Times New Roman"/>
          <w:spacing w:val="-15"/>
          <w:sz w:val="20"/>
        </w:rPr>
        <w:t> </w:t>
      </w:r>
      <w:r>
        <w:rPr>
          <w:rFonts w:ascii="Times New Roman"/>
          <w:sz w:val="20"/>
        </w:rPr>
        <w:t>65957+&gt;&gt;.</w:t>
      </w:r>
    </w:p>
    <w:p>
      <w:pPr>
        <w:pStyle w:val="ListParagraph"/>
        <w:numPr>
          <w:ilvl w:val="0"/>
          <w:numId w:val="5"/>
        </w:numPr>
        <w:tabs>
          <w:tab w:pos="412" w:val="left" w:leader="none"/>
        </w:tabs>
        <w:spacing w:line="240" w:lineRule="auto" w:before="0" w:after="0"/>
        <w:ind w:left="119" w:right="123" w:firstLine="0"/>
        <w:jc w:val="both"/>
        <w:rPr>
          <w:rFonts w:ascii="Times New Roman" w:hAnsi="Times New Roman"/>
          <w:sz w:val="20"/>
        </w:rPr>
      </w:pPr>
      <w:r>
        <w:rPr>
          <w:rFonts w:ascii="Times New Roman" w:hAnsi="Times New Roman"/>
          <w:sz w:val="20"/>
        </w:rPr>
        <w:t>For purposes of this section, “lead agency” and “negative declaration” shall have the same meaning as those terms are defined in Sections 21067 and 21064 of the Public Resources Code,</w:t>
      </w:r>
      <w:r>
        <w:rPr>
          <w:rFonts w:ascii="Times New Roman" w:hAnsi="Times New Roman"/>
          <w:spacing w:val="-14"/>
          <w:sz w:val="20"/>
        </w:rPr>
        <w:t> </w:t>
      </w:r>
      <w:r>
        <w:rPr>
          <w:rFonts w:ascii="Times New Roman" w:hAnsi="Times New Roman"/>
          <w:sz w:val="20"/>
        </w:rPr>
        <w:t>respectively.</w:t>
      </w:r>
    </w:p>
    <w:p>
      <w:pPr>
        <w:pStyle w:val="BodyText"/>
        <w:spacing w:line="230" w:lineRule="exact"/>
        <w:ind w:left="119"/>
        <w:jc w:val="both"/>
      </w:pPr>
      <w:r>
        <w:rPr/>
        <w:t>SEC. 3. Section 65951 of the Government Code is amended to read:</w:t>
      </w:r>
    </w:p>
    <w:p>
      <w:pPr>
        <w:pStyle w:val="BodyText"/>
        <w:spacing w:before="4"/>
        <w:rPr>
          <w:sz w:val="17"/>
        </w:rPr>
      </w:pPr>
    </w:p>
    <w:p>
      <w:pPr>
        <w:pStyle w:val="BodyText"/>
        <w:ind w:left="1852" w:right="1851"/>
        <w:jc w:val="center"/>
      </w:pPr>
      <w:r>
        <w:rPr/>
        <w:t>&lt;&lt; CA GOVT § 65951 &gt;&gt;</w:t>
      </w:r>
    </w:p>
    <w:p>
      <w:pPr>
        <w:pStyle w:val="BodyText"/>
        <w:spacing w:before="6"/>
        <w:rPr>
          <w:sz w:val="17"/>
        </w:rPr>
      </w:pPr>
    </w:p>
    <w:p>
      <w:pPr>
        <w:pStyle w:val="BodyText"/>
        <w:ind w:left="119" w:right="116"/>
        <w:jc w:val="both"/>
      </w:pPr>
      <w:r>
        <w:rPr/>
        <w:t>65951. In the event that a combined environmental impact report-environmental impact statement is being prepared on a development project pursuant to Section 21083.6 of the Public Resources Code, a lead agency&lt;&lt;-* * *-&gt;&gt; shall approve or disapprove &lt;&lt;+the+&gt;&gt; project within &lt;&lt;+90+&gt;&gt; days after the combined environmental impact report-environmental impact statement has been completed and adopted.</w:t>
      </w:r>
    </w:p>
    <w:p>
      <w:pPr>
        <w:pStyle w:val="BodyText"/>
        <w:spacing w:line="229" w:lineRule="exact"/>
        <w:ind w:left="119"/>
        <w:jc w:val="both"/>
      </w:pPr>
      <w:r>
        <w:rPr/>
        <w:t>SEC. 4. Section 65957 of the Government Code is amended to read:</w:t>
      </w:r>
    </w:p>
    <w:p>
      <w:pPr>
        <w:pStyle w:val="BodyText"/>
        <w:spacing w:before="197"/>
        <w:ind w:left="1852" w:right="1851"/>
        <w:jc w:val="center"/>
      </w:pPr>
      <w:r>
        <w:rPr>
          <w:shd w:fill="FFFF00" w:color="auto" w:val="clear"/>
        </w:rPr>
        <w:t>&lt;&lt; CA GOVT § 65957 &gt;&gt;</w:t>
      </w:r>
    </w:p>
    <w:p>
      <w:pPr>
        <w:pStyle w:val="BodyText"/>
        <w:spacing w:before="6"/>
        <w:rPr>
          <w:sz w:val="17"/>
        </w:rPr>
      </w:pPr>
    </w:p>
    <w:p>
      <w:pPr>
        <w:pStyle w:val="BodyText"/>
        <w:ind w:left="120" w:right="116"/>
        <w:jc w:val="both"/>
      </w:pPr>
      <w:r>
        <w:rPr>
          <w:shd w:fill="FFFF00" w:color="auto" w:val="clear"/>
        </w:rPr>
        <w:t>65957.</w:t>
      </w:r>
      <w:r>
        <w:rPr/>
        <w:t> </w:t>
      </w:r>
      <w:r>
        <w:rPr>
          <w:shd w:fill="FFFF00" w:color="auto" w:val="clear"/>
        </w:rPr>
        <w:t>The time limits established by Sections 65950, 65950.1, &lt;&lt;+ 65951,+&gt;&gt; and 65952 may be extended once &lt;&lt;+upon</w:t>
      </w:r>
      <w:r>
        <w:rPr/>
        <w:t> </w:t>
      </w:r>
      <w:r>
        <w:rPr>
          <w:shd w:fill="FFFF00" w:color="auto" w:val="clear"/>
        </w:rPr>
        <w:t>mutual written agreement of the project applicant and the public agency+&gt;&gt; for a period not to exceed 90 days&lt;&lt;-* * *-&gt;&gt;</w:t>
      </w:r>
    </w:p>
    <w:p>
      <w:pPr>
        <w:spacing w:before="0"/>
        <w:ind w:left="120" w:right="119" w:firstLine="0"/>
        <w:jc w:val="both"/>
        <w:rPr>
          <w:sz w:val="20"/>
        </w:rPr>
      </w:pPr>
      <w:r>
        <w:rPr>
          <w:sz w:val="20"/>
          <w:shd w:fill="FFFF00" w:color="auto" w:val="clear"/>
        </w:rPr>
        <w:t>&lt;&lt;+from the date of the extension+&gt;&gt;. &lt;&lt;+</w:t>
      </w:r>
      <w:r>
        <w:rPr>
          <w:b/>
          <w:sz w:val="20"/>
          <w:shd w:fill="FFFF00" w:color="auto" w:val="clear"/>
        </w:rPr>
        <w:t>No other extension, continuance, or waiver of these time limits either by the</w:t>
      </w:r>
      <w:r>
        <w:rPr>
          <w:b/>
          <w:sz w:val="20"/>
        </w:rPr>
        <w:t> </w:t>
      </w:r>
      <w:r>
        <w:rPr>
          <w:b/>
          <w:sz w:val="20"/>
          <w:shd w:fill="FFFF00" w:color="auto" w:val="clear"/>
        </w:rPr>
        <w:t>project applicant or the lead agency shall be permitted</w:t>
      </w:r>
      <w:r>
        <w:rPr>
          <w:b/>
          <w:sz w:val="20"/>
        </w:rPr>
        <w:t>, </w:t>
      </w:r>
      <w:r>
        <w:rPr>
          <w:sz w:val="20"/>
        </w:rPr>
        <w:t>except as provided in this section and Section 65950.1. Failure of the lead agency to act within these time limits may result in the project being deemed approved pursuant to the provisions of subdivision (b) of Section 65956.+&gt;&gt;</w:t>
      </w:r>
    </w:p>
    <w:p>
      <w:pPr>
        <w:spacing w:before="0"/>
        <w:ind w:left="120" w:right="115" w:firstLine="0"/>
        <w:jc w:val="both"/>
        <w:rPr>
          <w:b/>
          <w:sz w:val="20"/>
        </w:rPr>
      </w:pPr>
      <w:r>
        <w:rPr/>
        <w:pict>
          <v:shape style="position:absolute;margin-left:54.000004pt;margin-top:.095933pt;width:504pt;height:23.05pt;mso-position-horizontal-relative:page;mso-position-vertical-relative:paragraph;z-index:-252115968" coordorigin="1080,2" coordsize="10080,461" path="m11160,232l1080,232,1080,463,11160,463,11160,232m11160,2l1080,2,1080,232,11160,232,11160,2e" filled="true" fillcolor="#ffff00" stroked="false">
            <v:path arrowok="t"/>
            <v:fill type="solid"/>
            <w10:wrap type="none"/>
          </v:shape>
        </w:pict>
      </w:r>
      <w:r>
        <w:rPr>
          <w:sz w:val="20"/>
        </w:rPr>
        <w:t>SEC. 5. The Legislature finds and declares that it is aware of the California Supreme Court’s decision in Bickel v. City of Piedmont (1997), 16 Cal. 4th 1040. </w:t>
      </w:r>
      <w:r>
        <w:rPr>
          <w:b/>
          <w:sz w:val="20"/>
        </w:rPr>
        <w:t>In enacting this act, it is the intent of the Legislature to clarify that the Permit</w:t>
      </w:r>
    </w:p>
    <w:p>
      <w:pPr>
        <w:spacing w:after="0"/>
        <w:jc w:val="both"/>
        <w:rPr>
          <w:sz w:val="20"/>
        </w:rPr>
        <w:sectPr>
          <w:pgSz w:w="12240" w:h="15840"/>
          <w:pgMar w:header="0" w:footer="1026" w:top="1040" w:bottom="1220" w:left="960" w:right="960"/>
        </w:sectPr>
      </w:pPr>
    </w:p>
    <w:p>
      <w:pPr>
        <w:spacing w:before="76"/>
        <w:ind w:left="120" w:right="0" w:firstLine="0"/>
        <w:jc w:val="left"/>
        <w:rPr>
          <w:rFonts w:ascii="Arial" w:hAnsi="Arial"/>
          <w:b/>
          <w:sz w:val="18"/>
        </w:rPr>
      </w:pPr>
      <w:r>
        <w:rPr/>
        <w:pict>
          <v:group style="position:absolute;margin-left:54pt;margin-top:17.342884pt;width:504pt;height:1pt;mso-position-horizontal-relative:page;mso-position-vertical-relative:paragraph;z-index:-251655168;mso-wrap-distance-left:0;mso-wrap-distance-right:0" coordorigin="1080,347" coordsize="10080,20">
            <v:line style="position:absolute" from="1080,356" to="10460,356" stroked="true" strokeweight=".959pt" strokecolor="#acacac">
              <v:stroke dashstyle="solid"/>
            </v:line>
            <v:rect style="position:absolute;left:10460;top:346;width:20;height:20" filled="true" fillcolor="#acacac" stroked="false">
              <v:fill type="solid"/>
            </v:rect>
            <v:line style="position:absolute" from="10480,356" to="11160,356" stroked="true" strokeweight=".959pt" strokecolor="#acacac">
              <v:stroke dashstyle="solid"/>
            </v:line>
            <w10:wrap type="topAndBottom"/>
          </v:group>
        </w:pict>
      </w:r>
      <w:r>
        <w:rPr>
          <w:rFonts w:ascii="Arial" w:hAnsi="Arial"/>
          <w:b/>
          <w:color w:val="545454"/>
          <w:sz w:val="18"/>
        </w:rPr>
        <w:t>LOCAL AGENCIES—DEVELOPMENT PROJECTS—PERMITS, 1998 Cal. Legis. Serv....</w:t>
      </w:r>
    </w:p>
    <w:p>
      <w:pPr>
        <w:pStyle w:val="BodyText"/>
        <w:rPr>
          <w:rFonts w:ascii="Arial"/>
          <w:b/>
        </w:rPr>
      </w:pPr>
    </w:p>
    <w:p>
      <w:pPr>
        <w:pStyle w:val="BodyText"/>
        <w:spacing w:before="3"/>
        <w:rPr>
          <w:rFonts w:ascii="Arial"/>
          <w:b/>
          <w:sz w:val="19"/>
        </w:rPr>
      </w:pPr>
    </w:p>
    <w:p>
      <w:pPr>
        <w:spacing w:before="1"/>
        <w:ind w:left="120" w:right="119" w:firstLine="0"/>
        <w:jc w:val="both"/>
        <w:rPr>
          <w:b/>
          <w:sz w:val="20"/>
        </w:rPr>
      </w:pPr>
      <w:r>
        <w:rPr/>
        <w:pict>
          <v:shape style="position:absolute;margin-left:54.000004pt;margin-top:.145914pt;width:504pt;height:23pt;mso-position-horizontal-relative:page;mso-position-vertical-relative:paragraph;z-index:-252112896" coordorigin="1080,3" coordsize="10080,460" path="m11160,3l1080,3,1080,233,1080,463,11160,463,11160,233,11160,3e" filled="true" fillcolor="#ffff00" stroked="false">
            <v:path arrowok="t"/>
            <v:fill type="solid"/>
            <w10:wrap type="none"/>
          </v:shape>
        </w:pict>
      </w:r>
      <w:r>
        <w:rPr>
          <w:b/>
          <w:sz w:val="20"/>
        </w:rPr>
        <w:t>Streamlining Act </w:t>
      </w:r>
      <w:r>
        <w:rPr>
          <w:sz w:val="20"/>
        </w:rPr>
        <w:t>(Chapter 4.5 (commencing with Section 65920) of Division 1 of Title 7 of the Government Code) </w:t>
      </w:r>
      <w:r>
        <w:rPr>
          <w:b/>
          <w:sz w:val="20"/>
        </w:rPr>
        <w:t>does not provide for the application of the common law doctrine of waiver by either the act’s purpose or its statutory </w:t>
      </w:r>
      <w:r>
        <w:rPr>
          <w:b/>
          <w:sz w:val="20"/>
          <w:shd w:fill="FFFF00" w:color="auto" w:val="clear"/>
        </w:rPr>
        <w:t>language.</w:t>
      </w:r>
    </w:p>
    <w:p>
      <w:pPr>
        <w:pStyle w:val="BodyText"/>
        <w:spacing w:before="3"/>
        <w:rPr>
          <w:b/>
          <w:sz w:val="17"/>
        </w:rPr>
      </w:pPr>
    </w:p>
    <w:p>
      <w:pPr>
        <w:pStyle w:val="BodyText"/>
        <w:ind w:left="120"/>
        <w:jc w:val="both"/>
      </w:pPr>
      <w:r>
        <w:rPr/>
        <w:t>CA LEGIS 283 (1998)</w:t>
      </w:r>
    </w:p>
    <w:p>
      <w:pPr>
        <w:pStyle w:val="BodyText"/>
        <w:spacing w:before="3"/>
        <w:rPr>
          <w:sz w:val="14"/>
        </w:rPr>
      </w:pPr>
      <w:r>
        <w:rPr/>
        <w:pict>
          <v:group style="position:absolute;margin-left:54pt;margin-top:10.165140pt;width:504pt;height:.5pt;mso-position-horizontal-relative:page;mso-position-vertical-relative:paragraph;z-index:-251654144;mso-wrap-distance-left:0;mso-wrap-distance-right:0" coordorigin="1080,203" coordsize="10080,10">
            <v:line style="position:absolute" from="1080,208" to="5400,208" stroked="true" strokeweight=".481pt" strokecolor="#787878">
              <v:stroke dashstyle="solid"/>
            </v:line>
            <v:rect style="position:absolute;left:5400;top:203;width:10;height:10" filled="true" fillcolor="#787878" stroked="false">
              <v:fill type="solid"/>
            </v:rect>
            <v:line style="position:absolute" from="5410,208" to="11160,208" stroked="true" strokeweight=".481pt" strokecolor="#787878">
              <v:stroke dashstyle="solid"/>
            </v:line>
            <w10:wrap type="topAndBottom"/>
          </v:group>
        </w:pict>
      </w:r>
    </w:p>
    <w:p>
      <w:pPr>
        <w:tabs>
          <w:tab w:pos="5452" w:val="left" w:leader="none"/>
        </w:tabs>
        <w:spacing w:before="71"/>
        <w:ind w:left="167" w:right="0" w:firstLine="0"/>
        <w:jc w:val="both"/>
        <w:rPr>
          <w:sz w:val="16"/>
        </w:rPr>
      </w:pPr>
      <w:r>
        <w:rPr>
          <w:b/>
          <w:color w:val="787878"/>
          <w:sz w:val="16"/>
        </w:rPr>
        <w:t>End</w:t>
      </w:r>
      <w:r>
        <w:rPr>
          <w:b/>
          <w:color w:val="787878"/>
          <w:spacing w:val="-3"/>
          <w:sz w:val="16"/>
        </w:rPr>
        <w:t> </w:t>
      </w:r>
      <w:r>
        <w:rPr>
          <w:b/>
          <w:color w:val="787878"/>
          <w:sz w:val="16"/>
        </w:rPr>
        <w:t>of</w:t>
      </w:r>
      <w:r>
        <w:rPr>
          <w:b/>
          <w:color w:val="787878"/>
          <w:spacing w:val="-2"/>
          <w:sz w:val="16"/>
        </w:rPr>
        <w:t> </w:t>
      </w:r>
      <w:r>
        <w:rPr>
          <w:b/>
          <w:color w:val="787878"/>
          <w:sz w:val="16"/>
        </w:rPr>
        <w:t>Document</w:t>
        <w:tab/>
      </w:r>
      <w:r>
        <w:rPr>
          <w:color w:val="787878"/>
          <w:sz w:val="16"/>
        </w:rPr>
        <w:t>© 2020 Thomson Reuters. No claim to original U.S. Government</w:t>
      </w:r>
      <w:r>
        <w:rPr>
          <w:color w:val="787878"/>
          <w:spacing w:val="-17"/>
          <w:sz w:val="16"/>
        </w:rPr>
        <w:t> </w:t>
      </w:r>
      <w:r>
        <w:rPr>
          <w:color w:val="787878"/>
          <w:sz w:val="16"/>
        </w:rPr>
        <w:t>Works.</w:t>
      </w:r>
    </w:p>
    <w:p>
      <w:pPr>
        <w:spacing w:after="0"/>
        <w:jc w:val="both"/>
        <w:rPr>
          <w:sz w:val="16"/>
        </w:rPr>
        <w:sectPr>
          <w:pgSz w:w="12240" w:h="15840"/>
          <w:pgMar w:header="0" w:footer="1026" w:top="1040" w:bottom="1300" w:left="960" w:right="960"/>
        </w:sectPr>
      </w:pPr>
    </w:p>
    <w:p>
      <w:pPr>
        <w:pStyle w:val="BodyText"/>
      </w:pPr>
    </w:p>
    <w:p>
      <w:pPr>
        <w:pStyle w:val="BodyText"/>
        <w:spacing w:before="3"/>
        <w:rPr>
          <w:sz w:val="19"/>
        </w:rPr>
      </w:pPr>
    </w:p>
    <w:p>
      <w:pPr>
        <w:spacing w:before="91"/>
        <w:ind w:left="1852" w:right="1853" w:firstLine="0"/>
        <w:jc w:val="center"/>
        <w:rPr>
          <w:rFonts w:ascii="Arial"/>
          <w:sz w:val="28"/>
        </w:rPr>
      </w:pPr>
      <w:r>
        <w:rPr>
          <w:rFonts w:ascii="Arial"/>
          <w:color w:val="26282A"/>
          <w:sz w:val="28"/>
          <w:u w:val="thick" w:color="26282A"/>
        </w:rPr>
        <w:t>SECOND ATTACHMENT</w:t>
      </w:r>
    </w:p>
    <w:p>
      <w:pPr>
        <w:pStyle w:val="BodyText"/>
        <w:spacing w:before="2"/>
        <w:rPr>
          <w:rFonts w:ascii="Arial"/>
          <w:sz w:val="24"/>
        </w:rPr>
      </w:pPr>
    </w:p>
    <w:p>
      <w:pPr>
        <w:spacing w:before="0"/>
        <w:ind w:left="480" w:right="839" w:firstLine="0"/>
        <w:jc w:val="left"/>
        <w:rPr>
          <w:rFonts w:ascii="Arial"/>
          <w:sz w:val="28"/>
        </w:rPr>
      </w:pPr>
      <w:r>
        <w:rPr>
          <w:rFonts w:ascii="Arial"/>
          <w:color w:val="26282A"/>
          <w:sz w:val="28"/>
        </w:rPr>
        <w:t>Case of </w:t>
      </w:r>
      <w:r>
        <w:rPr>
          <w:rFonts w:ascii="Arial"/>
          <w:i/>
          <w:color w:val="26282A"/>
          <w:sz w:val="28"/>
        </w:rPr>
        <w:t>Riverwatch v. County of San Diego </w:t>
      </w:r>
      <w:r>
        <w:rPr>
          <w:rFonts w:ascii="Arial"/>
          <w:color w:val="26282A"/>
          <w:sz w:val="28"/>
        </w:rPr>
        <w:t>(1999) 76 Cal.App.4th 1428, 1439, acknowledging </w:t>
      </w:r>
      <w:r>
        <w:rPr>
          <w:rFonts w:ascii="Arial"/>
          <w:i/>
          <w:color w:val="26282A"/>
          <w:sz w:val="28"/>
        </w:rPr>
        <w:t>Bickel </w:t>
      </w:r>
      <w:r>
        <w:rPr>
          <w:rFonts w:ascii="Arial"/>
          <w:color w:val="26282A"/>
          <w:sz w:val="28"/>
        </w:rPr>
        <w:t>case superseded by Act of Legislature and that time limits of Permit Streamlining Act are not subject to extension, continuance, or waiver.</w:t>
      </w:r>
    </w:p>
    <w:p>
      <w:pPr>
        <w:spacing w:after="0"/>
        <w:jc w:val="left"/>
        <w:rPr>
          <w:rFonts w:ascii="Arial"/>
          <w:sz w:val="28"/>
        </w:rPr>
        <w:sectPr>
          <w:footerReference w:type="default" r:id="rId10"/>
          <w:pgSz w:w="12240" w:h="15840"/>
          <w:pgMar w:footer="0" w:header="0" w:top="1500" w:bottom="280" w:left="960" w:right="960"/>
        </w:sectPr>
      </w:pPr>
    </w:p>
    <w:p>
      <w:pPr>
        <w:spacing w:before="76"/>
        <w:ind w:left="120" w:right="0" w:firstLine="0"/>
        <w:jc w:val="left"/>
        <w:rPr>
          <w:rFonts w:ascii="Arial"/>
          <w:b/>
          <w:sz w:val="18"/>
        </w:rPr>
      </w:pPr>
      <w:r>
        <w:rPr/>
        <w:pict>
          <v:group style="position:absolute;margin-left:54pt;margin-top:17.342884pt;width:504pt;height:1pt;mso-position-horizontal-relative:page;mso-position-vertical-relative:paragraph;z-index:-251652096;mso-wrap-distance-left:0;mso-wrap-distance-right:0" coordorigin="1080,347" coordsize="10080,20">
            <v:line style="position:absolute" from="1080,356" to="10460,356" stroked="true" strokeweight=".959pt" strokecolor="#acacac">
              <v:stroke dashstyle="solid"/>
            </v:line>
            <v:rect style="position:absolute;left:10460;top:346;width:20;height:20" filled="true" fillcolor="#acacac" stroked="false">
              <v:fill type="solid"/>
            </v:rect>
            <v:line style="position:absolute" from="10480,356" to="11160,356" stroked="true" strokeweight=".959pt" strokecolor="#acacac">
              <v:stroke dashstyle="solid"/>
            </v:line>
            <w10:wrap type="topAndBottom"/>
          </v:group>
        </w:pict>
      </w:r>
      <w:r>
        <w:rPr>
          <w:rFonts w:ascii="Arial"/>
          <w:b/>
          <w:color w:val="545454"/>
          <w:sz w:val="18"/>
        </w:rPr>
        <w:t>Riverwatch v. County of San Diego, 76 Cal.App.4th 1428 (1999)</w:t>
      </w:r>
    </w:p>
    <w:p>
      <w:pPr>
        <w:spacing w:before="0"/>
        <w:ind w:left="120" w:right="0" w:firstLine="0"/>
        <w:jc w:val="left"/>
        <w:rPr>
          <w:rFonts w:ascii="Arial"/>
          <w:sz w:val="18"/>
        </w:rPr>
      </w:pPr>
      <w:r>
        <w:rPr>
          <w:rFonts w:ascii="Arial"/>
          <w:sz w:val="18"/>
        </w:rPr>
        <w:t>91 Cal.Rptr.2d 322, 99 Cal. Daily Op. Serv. 9933, 1999 Daily Journal D.A.R. 12,743</w:t>
      </w:r>
    </w:p>
    <w:p>
      <w:pPr>
        <w:pStyle w:val="BodyText"/>
        <w:spacing w:before="1"/>
        <w:rPr>
          <w:rFonts w:ascii="Arial"/>
          <w:sz w:val="16"/>
        </w:rPr>
      </w:pPr>
    </w:p>
    <w:p>
      <w:pPr>
        <w:pStyle w:val="BodyText"/>
        <w:spacing w:before="92"/>
        <w:ind w:left="5519" w:right="16"/>
      </w:pPr>
      <w:r>
        <w:rPr/>
        <w:t>project being deemed approved pursuant to the provisions of </w:t>
      </w:r>
      <w:r>
        <w:rPr>
          <w:color w:val="0000FF"/>
        </w:rPr>
        <w:t>subdivision (b) of Section 65956</w:t>
      </w:r>
      <w:r>
        <w:rPr/>
        <w:t>.”</w:t>
      </w:r>
    </w:p>
    <w:p>
      <w:pPr>
        <w:pStyle w:val="BodyText"/>
      </w:pPr>
    </w:p>
    <w:p>
      <w:pPr>
        <w:pStyle w:val="BodyText"/>
        <w:rPr>
          <w:sz w:val="24"/>
        </w:rPr>
      </w:pPr>
    </w:p>
    <w:p>
      <w:pPr>
        <w:pStyle w:val="BodyText"/>
        <w:spacing w:before="92"/>
        <w:ind w:left="1852" w:right="7249"/>
        <w:jc w:val="center"/>
      </w:pPr>
      <w:r>
        <w:rPr/>
        <w:pict>
          <v:shape style="position:absolute;margin-left:324pt;margin-top:-13.72965pt;width:234pt;height:138pt;mso-position-horizontal-relative:page;mso-position-vertical-relative:paragraph;z-index:251668480" type="#_x0000_t202" filled="true" fillcolor="#ffff00" stroked="false">
            <v:textbox inset="0,0,0,0">
              <w:txbxContent>
                <w:p>
                  <w:pPr>
                    <w:pStyle w:val="BodyText"/>
                    <w:ind w:right="-15"/>
                    <w:jc w:val="both"/>
                  </w:pPr>
                  <w:r>
                    <w:rPr/>
                    <w:t>In making these amendments to section 65957, the Legislature made the following finding: “The Legislature finds and declares that it is aware of the California Supreme Court’s decision in </w:t>
                  </w:r>
                  <w:r>
                    <w:rPr>
                      <w:i/>
                      <w:color w:val="202020"/>
                    </w:rPr>
                    <w:t>Bickel v. City of Piedmont </w:t>
                  </w:r>
                  <w:r>
                    <w:rPr>
                      <w:color w:val="202020"/>
                    </w:rPr>
                    <w:t>(1997), 16 Cal.4th 1040, 68 Cal.Rptr.2d 758, 946 P.2d</w:t>
                  </w:r>
                </w:p>
                <w:p>
                  <w:pPr>
                    <w:spacing w:before="0"/>
                    <w:ind w:left="0" w:right="-15" w:firstLine="0"/>
                    <w:jc w:val="both"/>
                    <w:rPr>
                      <w:sz w:val="20"/>
                    </w:rPr>
                  </w:pPr>
                  <w:r>
                    <w:rPr>
                      <w:color w:val="202020"/>
                      <w:sz w:val="20"/>
                    </w:rPr>
                    <w:t>427. </w:t>
                  </w:r>
                  <w:r>
                    <w:rPr>
                      <w:b/>
                      <w:sz w:val="20"/>
                    </w:rPr>
                    <w:t>In enacting this act, it is the intent of the Legislature to clarify that the Permit Streamlining Act (Chapter 4.5 (commencing with </w:t>
                  </w:r>
                  <w:r>
                    <w:rPr>
                      <w:b/>
                      <w:color w:val="0000FF"/>
                      <w:sz w:val="20"/>
                    </w:rPr>
                    <w:t>Section 65920) of Division 1 of Title 7 of the Government Code</w:t>
                  </w:r>
                  <w:r>
                    <w:rPr>
                      <w:b/>
                      <w:sz w:val="20"/>
                    </w:rPr>
                    <w:t>) does not provide for the application of the common law doctrine of waiver by either the act’s purpose or its statutory language.” (Stats.1998, ch. 283, §</w:t>
                  </w:r>
                  <w:r>
                    <w:rPr>
                      <w:b/>
                      <w:spacing w:val="-8"/>
                      <w:sz w:val="20"/>
                    </w:rPr>
                    <w:t> </w:t>
                  </w:r>
                  <w:r>
                    <w:rPr>
                      <w:b/>
                      <w:sz w:val="20"/>
                    </w:rPr>
                    <w:t>5.</w:t>
                  </w:r>
                  <w:r>
                    <w:rPr>
                      <w:sz w:val="20"/>
                    </w:rPr>
                    <w:t>)</w:t>
                  </w:r>
                </w:p>
              </w:txbxContent>
            </v:textbox>
            <v:fill type="solid"/>
            <w10:wrap type="none"/>
          </v:shape>
        </w:pict>
      </w:r>
      <w:r>
        <w:rPr/>
        <w:t>DISCUSSION</w:t>
      </w:r>
    </w:p>
    <w:p>
      <w:pPr>
        <w:pStyle w:val="BodyText"/>
        <w:rPr>
          <w:sz w:val="22"/>
        </w:rPr>
      </w:pPr>
    </w:p>
    <w:p>
      <w:pPr>
        <w:pStyle w:val="BodyText"/>
        <w:rPr>
          <w:sz w:val="22"/>
        </w:rPr>
      </w:pPr>
    </w:p>
    <w:p>
      <w:pPr>
        <w:pStyle w:val="BodyText"/>
        <w:rPr>
          <w:sz w:val="22"/>
        </w:rPr>
      </w:pPr>
    </w:p>
    <w:p>
      <w:pPr>
        <w:pStyle w:val="BodyText"/>
        <w:spacing w:before="7"/>
        <w:rPr>
          <w:sz w:val="23"/>
        </w:rPr>
      </w:pPr>
    </w:p>
    <w:p>
      <w:pPr>
        <w:pStyle w:val="BodyText"/>
        <w:ind w:right="5398"/>
        <w:jc w:val="center"/>
      </w:pPr>
      <w:r>
        <w:rPr>
          <w:w w:val="100"/>
        </w:rPr>
        <w:t>I</w:t>
      </w:r>
    </w:p>
    <w:p>
      <w:pPr>
        <w:pStyle w:val="BodyText"/>
      </w:pPr>
    </w:p>
    <w:p>
      <w:pPr>
        <w:pStyle w:val="BodyText"/>
        <w:spacing w:before="3"/>
        <w:rPr>
          <w:sz w:val="24"/>
        </w:rPr>
      </w:pPr>
    </w:p>
    <w:p>
      <w:pPr>
        <w:spacing w:after="0"/>
        <w:rPr>
          <w:sz w:val="24"/>
        </w:rPr>
        <w:sectPr>
          <w:footerReference w:type="default" r:id="rId11"/>
          <w:pgSz w:w="12240" w:h="15840"/>
          <w:pgMar w:footer="1026" w:header="0" w:top="1040" w:bottom="1220" w:left="960" w:right="960"/>
        </w:sectPr>
      </w:pPr>
    </w:p>
    <w:p>
      <w:pPr>
        <w:spacing w:before="92"/>
        <w:ind w:left="1487" w:right="0" w:firstLine="0"/>
        <w:jc w:val="left"/>
        <w:rPr>
          <w:i/>
          <w:sz w:val="20"/>
        </w:rPr>
      </w:pPr>
      <w:r>
        <w:rPr>
          <w:i/>
          <w:sz w:val="20"/>
        </w:rPr>
        <w:t>Permit Streamlining Act</w:t>
      </w:r>
    </w:p>
    <w:p>
      <w:pPr>
        <w:pStyle w:val="BodyText"/>
        <w:rPr>
          <w:i/>
          <w:sz w:val="22"/>
        </w:rPr>
      </w:pPr>
    </w:p>
    <w:p>
      <w:pPr>
        <w:pStyle w:val="ListParagraph"/>
        <w:numPr>
          <w:ilvl w:val="0"/>
          <w:numId w:val="6"/>
        </w:numPr>
        <w:tabs>
          <w:tab w:pos="365" w:val="left" w:leader="none"/>
        </w:tabs>
        <w:spacing w:line="228" w:lineRule="exact" w:before="146" w:after="0"/>
        <w:ind w:left="364" w:right="0" w:hanging="245"/>
        <w:jc w:val="both"/>
        <w:rPr>
          <w:rFonts w:ascii="Times New Roman"/>
          <w:i/>
          <w:sz w:val="20"/>
        </w:rPr>
      </w:pPr>
      <w:r>
        <w:rPr>
          <w:rFonts w:ascii="Times New Roman"/>
          <w:i/>
          <w:sz w:val="20"/>
        </w:rPr>
        <w:t>Automatic</w:t>
      </w:r>
      <w:r>
        <w:rPr>
          <w:rFonts w:ascii="Times New Roman"/>
          <w:i/>
          <w:spacing w:val="-2"/>
          <w:sz w:val="20"/>
        </w:rPr>
        <w:t> </w:t>
      </w:r>
      <w:r>
        <w:rPr>
          <w:rFonts w:ascii="Times New Roman"/>
          <w:i/>
          <w:sz w:val="20"/>
        </w:rPr>
        <w:t>Approval</w:t>
      </w:r>
    </w:p>
    <w:p>
      <w:pPr>
        <w:pStyle w:val="BodyText"/>
        <w:ind w:left="120" w:right="38"/>
        <w:jc w:val="both"/>
        <w:rPr>
          <w:b/>
        </w:rPr>
      </w:pPr>
      <w:r>
        <w:rPr>
          <w:b/>
          <w:color w:val="202020"/>
          <w:position w:val="7"/>
          <w:sz w:val="13"/>
        </w:rPr>
        <w:t>[1] </w:t>
      </w:r>
      <w:r>
        <w:rPr/>
        <w:t>The PSA requires a public agency to approve or disapprove a development project within one year after an application for a permit is deemed complete. (</w:t>
      </w:r>
      <w:r>
        <w:rPr>
          <w:color w:val="0000FF"/>
        </w:rPr>
        <w:t>§ 65950</w:t>
      </w:r>
      <w:r>
        <w:rPr/>
        <w:t>.) In general, if a public agency fails to approve or disapprove a development project within the statutory period, the application will be deemed approved by the agency. (</w:t>
      </w:r>
      <w:r>
        <w:rPr>
          <w:color w:val="0000FF"/>
        </w:rPr>
        <w:t>§ 65956</w:t>
      </w:r>
      <w:r>
        <w:rPr/>
        <w:t>, subd. (b).) The purpose of the PSA is “to ensure clear understanding of the specific requirements which must be met in connection with the approval of development projects and to expedite decisions on such projects.” (§ 65921.) </w:t>
      </w:r>
      <w:r>
        <w:rPr>
          <w:b/>
          <w:shd w:fill="FFFF00" w:color="auto" w:val="clear"/>
        </w:rPr>
        <w:t>The goal of the act is to</w:t>
      </w:r>
      <w:r>
        <w:rPr>
          <w:b/>
          <w:spacing w:val="10"/>
          <w:shd w:fill="FFFF00" w:color="auto" w:val="clear"/>
        </w:rPr>
        <w:t> </w:t>
      </w:r>
      <w:r>
        <w:rPr>
          <w:b/>
          <w:shd w:fill="FFFF00" w:color="auto" w:val="clear"/>
        </w:rPr>
        <w:t>relieve</w:t>
      </w:r>
    </w:p>
    <w:p>
      <w:pPr>
        <w:pStyle w:val="BodyText"/>
        <w:spacing w:line="229" w:lineRule="exact"/>
        <w:ind w:left="120" w:right="-15"/>
      </w:pPr>
      <w:r>
        <w:rPr>
          <w:position w:val="-4"/>
        </w:rPr>
        <w:pict>
          <v:shape style="width:234pt;height:11.5pt;mso-position-horizontal-relative:char;mso-position-vertical-relative:line" type="#_x0000_t202" filled="true" fillcolor="#ffff00" stroked="false">
            <w10:anchorlock/>
            <v:textbox inset="0,0,0,0">
              <w:txbxContent>
                <w:p>
                  <w:pPr>
                    <w:spacing w:line="229" w:lineRule="exact" w:before="0"/>
                    <w:ind w:left="0" w:right="0" w:firstLine="0"/>
                    <w:jc w:val="left"/>
                    <w:rPr>
                      <w:b/>
                      <w:sz w:val="20"/>
                    </w:rPr>
                  </w:pPr>
                  <w:r>
                    <w:rPr>
                      <w:b/>
                      <w:sz w:val="20"/>
                    </w:rPr>
                    <w:t>permit applicants from protracted and unjustified</w:t>
                  </w:r>
                </w:p>
              </w:txbxContent>
            </v:textbox>
            <v:fill type="solid"/>
          </v:shape>
        </w:pict>
      </w:r>
      <w:r>
        <w:rPr>
          <w:position w:val="-4"/>
        </w:rPr>
      </w:r>
    </w:p>
    <w:p>
      <w:pPr>
        <w:pStyle w:val="Heading2"/>
        <w:spacing w:line="480" w:lineRule="auto"/>
        <w:ind w:left="120" w:right="39"/>
      </w:pPr>
      <w:r>
        <w:rPr/>
        <w:pict>
          <v:shape style="position:absolute;margin-left:54pt;margin-top:11.25593pt;width:234pt;height:11.8pt;mso-position-horizontal-relative:page;mso-position-vertical-relative:paragraph;z-index:-252108800" type="#_x0000_t202" filled="true" fillcolor="#ffff66" stroked="false">
            <v:textbox inset="0,0,0,0">
              <w:txbxContent>
                <w:p>
                  <w:pPr>
                    <w:spacing w:before="5"/>
                    <w:ind w:left="0" w:right="-15" w:firstLine="0"/>
                    <w:jc w:val="left"/>
                    <w:rPr>
                      <w:b/>
                      <w:sz w:val="20"/>
                    </w:rPr>
                  </w:pPr>
                  <w:r>
                    <w:rPr>
                      <w:b/>
                      <w:i/>
                      <w:color w:val="202020"/>
                      <w:sz w:val="20"/>
                    </w:rPr>
                    <w:t>v.</w:t>
                  </w:r>
                  <w:r>
                    <w:rPr>
                      <w:b/>
                      <w:i/>
                      <w:color w:val="202020"/>
                      <w:spacing w:val="34"/>
                      <w:sz w:val="20"/>
                    </w:rPr>
                    <w:t> </w:t>
                  </w:r>
                  <w:r>
                    <w:rPr>
                      <w:b/>
                      <w:i/>
                      <w:color w:val="202020"/>
                      <w:sz w:val="20"/>
                    </w:rPr>
                    <w:t>City</w:t>
                  </w:r>
                  <w:r>
                    <w:rPr>
                      <w:b/>
                      <w:i/>
                      <w:color w:val="202020"/>
                      <w:spacing w:val="35"/>
                      <w:sz w:val="20"/>
                    </w:rPr>
                    <w:t> </w:t>
                  </w:r>
                  <w:r>
                    <w:rPr>
                      <w:b/>
                      <w:i/>
                      <w:color w:val="202020"/>
                      <w:sz w:val="20"/>
                    </w:rPr>
                    <w:t>of</w:t>
                  </w:r>
                  <w:r>
                    <w:rPr>
                      <w:b/>
                      <w:i/>
                      <w:color w:val="202020"/>
                      <w:spacing w:val="34"/>
                      <w:sz w:val="20"/>
                    </w:rPr>
                    <w:t> </w:t>
                  </w:r>
                  <w:r>
                    <w:rPr>
                      <w:b/>
                      <w:i/>
                      <w:color w:val="202020"/>
                      <w:sz w:val="20"/>
                    </w:rPr>
                    <w:t>Piedmont</w:t>
                  </w:r>
                  <w:r>
                    <w:rPr>
                      <w:b/>
                      <w:i/>
                      <w:color w:val="202020"/>
                      <w:spacing w:val="36"/>
                      <w:sz w:val="20"/>
                    </w:rPr>
                    <w:t> </w:t>
                  </w:r>
                  <w:r>
                    <w:rPr>
                      <w:b/>
                      <w:color w:val="202020"/>
                      <w:sz w:val="20"/>
                    </w:rPr>
                    <w:t>(1997)</w:t>
                  </w:r>
                  <w:r>
                    <w:rPr>
                      <w:b/>
                      <w:color w:val="202020"/>
                      <w:spacing w:val="37"/>
                      <w:sz w:val="20"/>
                    </w:rPr>
                    <w:t> </w:t>
                  </w:r>
                  <w:r>
                    <w:rPr>
                      <w:b/>
                      <w:color w:val="202020"/>
                      <w:sz w:val="20"/>
                    </w:rPr>
                    <w:t>16</w:t>
                  </w:r>
                  <w:r>
                    <w:rPr>
                      <w:b/>
                      <w:color w:val="202020"/>
                      <w:spacing w:val="37"/>
                      <w:sz w:val="20"/>
                    </w:rPr>
                    <w:t> </w:t>
                  </w:r>
                  <w:r>
                    <w:rPr>
                      <w:b/>
                      <w:color w:val="202020"/>
                      <w:sz w:val="20"/>
                    </w:rPr>
                    <w:t>Cal.4th</w:t>
                  </w:r>
                  <w:r>
                    <w:rPr>
                      <w:b/>
                      <w:color w:val="202020"/>
                      <w:spacing w:val="35"/>
                      <w:sz w:val="20"/>
                    </w:rPr>
                    <w:t> </w:t>
                  </w:r>
                  <w:r>
                    <w:rPr>
                      <w:b/>
                      <w:color w:val="202020"/>
                      <w:sz w:val="20"/>
                    </w:rPr>
                    <w:t>1040,</w:t>
                  </w:r>
                  <w:r>
                    <w:rPr>
                      <w:b/>
                      <w:color w:val="202020"/>
                      <w:spacing w:val="36"/>
                      <w:sz w:val="20"/>
                    </w:rPr>
                    <w:t> </w:t>
                  </w:r>
                  <w:r>
                    <w:rPr>
                      <w:b/>
                      <w:color w:val="202020"/>
                      <w:sz w:val="20"/>
                    </w:rPr>
                    <w:t>1046,</w:t>
                  </w:r>
                  <w:r>
                    <w:rPr>
                      <w:b/>
                      <w:color w:val="202020"/>
                      <w:spacing w:val="36"/>
                      <w:sz w:val="20"/>
                    </w:rPr>
                    <w:t> </w:t>
                  </w:r>
                  <w:r>
                    <w:rPr>
                      <w:b/>
                      <w:color w:val="202020"/>
                      <w:sz w:val="20"/>
                    </w:rPr>
                    <w:t>68</w:t>
                  </w:r>
                </w:p>
              </w:txbxContent>
            </v:textbox>
            <v:fill type="solid"/>
            <w10:wrap type="none"/>
          </v:shape>
        </w:pict>
      </w:r>
      <w:r>
        <w:rPr>
          <w:shd w:fill="FFFF00" w:color="auto" w:val="clear"/>
        </w:rPr>
        <w:t>delays in processing their permit applications</w:t>
      </w:r>
      <w:r>
        <w:rPr/>
        <w:t>. </w:t>
      </w:r>
      <w:r>
        <w:rPr>
          <w:color w:val="202020"/>
          <w:shd w:fill="FFFF66" w:color="auto" w:val="clear"/>
        </w:rPr>
        <w:t>(</w:t>
      </w:r>
      <w:r>
        <w:rPr>
          <w:i/>
          <w:color w:val="202020"/>
          <w:shd w:fill="FFFF66" w:color="auto" w:val="clear"/>
        </w:rPr>
        <w:t>Bickel</w:t>
      </w:r>
      <w:r>
        <w:rPr>
          <w:i/>
          <w:color w:val="202020"/>
        </w:rPr>
        <w:t> </w:t>
      </w:r>
      <w:r>
        <w:rPr>
          <w:color w:val="202020"/>
          <w:shd w:fill="FFFF66" w:color="auto" w:val="clear"/>
        </w:rPr>
        <w:t>Cal.Rptr.2d 758, 946 P.2d 427.)</w:t>
      </w:r>
    </w:p>
    <w:p>
      <w:pPr>
        <w:pStyle w:val="BodyText"/>
        <w:ind w:left="120" w:right="38"/>
        <w:jc w:val="both"/>
        <w:rPr>
          <w:b/>
        </w:rPr>
      </w:pPr>
      <w:r>
        <w:rPr>
          <w:b/>
        </w:rPr>
        <w:t>*1439 </w:t>
      </w:r>
      <w:r>
        <w:rPr/>
        <w:t>By mutual consent of the applicant and the agency, the time in which to act on an application may be extended once for a period of 90 days. (§ 65957.) Our Supreme Court initially found that in addition to the extension expressly provided by section 65957, a project applicant could waive its right to automatic approval by cooperating with an agency’s lengthy processing of its application. </w:t>
      </w:r>
      <w:r>
        <w:rPr>
          <w:color w:val="202020"/>
          <w:shd w:fill="FFFF66" w:color="auto" w:val="clear"/>
        </w:rPr>
        <w:t>(</w:t>
      </w:r>
      <w:r>
        <w:rPr>
          <w:i/>
          <w:color w:val="202020"/>
          <w:shd w:fill="FFFF66" w:color="auto" w:val="clear"/>
        </w:rPr>
        <w:t>Bickel v. City of Piedmont, supra, </w:t>
      </w:r>
      <w:r>
        <w:rPr>
          <w:color w:val="202020"/>
          <w:shd w:fill="FFFF66" w:color="auto" w:val="clear"/>
        </w:rPr>
        <w:t>16 Cal.4th</w:t>
      </w:r>
      <w:r>
        <w:rPr>
          <w:color w:val="202020"/>
        </w:rPr>
        <w:t> </w:t>
      </w:r>
      <w:r>
        <w:rPr>
          <w:color w:val="202020"/>
          <w:shd w:fill="FFFF66" w:color="auto" w:val="clear"/>
        </w:rPr>
        <w:t>at</w:t>
      </w:r>
      <w:r>
        <w:rPr>
          <w:color w:val="202020"/>
          <w:spacing w:val="9"/>
          <w:shd w:fill="FFFF66" w:color="auto" w:val="clear"/>
        </w:rPr>
        <w:t> </w:t>
      </w:r>
      <w:r>
        <w:rPr>
          <w:color w:val="202020"/>
          <w:shd w:fill="FFFF66" w:color="auto" w:val="clear"/>
        </w:rPr>
        <w:t>p.</w:t>
      </w:r>
      <w:r>
        <w:rPr>
          <w:color w:val="202020"/>
          <w:spacing w:val="9"/>
          <w:shd w:fill="FFFF66" w:color="auto" w:val="clear"/>
        </w:rPr>
        <w:t> </w:t>
      </w:r>
      <w:r>
        <w:rPr>
          <w:color w:val="202020"/>
          <w:shd w:fill="FFFF66" w:color="auto" w:val="clear"/>
        </w:rPr>
        <w:t>1051,</w:t>
      </w:r>
      <w:r>
        <w:rPr>
          <w:color w:val="202020"/>
          <w:spacing w:val="9"/>
          <w:shd w:fill="FFFF66" w:color="auto" w:val="clear"/>
        </w:rPr>
        <w:t> </w:t>
      </w:r>
      <w:r>
        <w:rPr>
          <w:color w:val="202020"/>
          <w:shd w:fill="FFFF66" w:color="auto" w:val="clear"/>
        </w:rPr>
        <w:t>68</w:t>
      </w:r>
      <w:r>
        <w:rPr>
          <w:color w:val="202020"/>
          <w:spacing w:val="10"/>
          <w:shd w:fill="FFFF66" w:color="auto" w:val="clear"/>
        </w:rPr>
        <w:t> </w:t>
      </w:r>
      <w:r>
        <w:rPr>
          <w:color w:val="202020"/>
          <w:shd w:fill="FFFF66" w:color="auto" w:val="clear"/>
        </w:rPr>
        <w:t>Cal.Rptr.2d</w:t>
      </w:r>
      <w:r>
        <w:rPr>
          <w:color w:val="202020"/>
          <w:spacing w:val="9"/>
          <w:shd w:fill="FFFF66" w:color="auto" w:val="clear"/>
        </w:rPr>
        <w:t> </w:t>
      </w:r>
      <w:r>
        <w:rPr>
          <w:color w:val="202020"/>
          <w:shd w:fill="FFFF66" w:color="auto" w:val="clear"/>
        </w:rPr>
        <w:t>758,</w:t>
      </w:r>
      <w:r>
        <w:rPr>
          <w:color w:val="202020"/>
          <w:spacing w:val="9"/>
          <w:shd w:fill="FFFF66" w:color="auto" w:val="clear"/>
        </w:rPr>
        <w:t> </w:t>
      </w:r>
      <w:r>
        <w:rPr>
          <w:color w:val="202020"/>
          <w:shd w:fill="FFFF66" w:color="auto" w:val="clear"/>
        </w:rPr>
        <w:t>946</w:t>
      </w:r>
      <w:r>
        <w:rPr>
          <w:color w:val="202020"/>
          <w:spacing w:val="9"/>
          <w:shd w:fill="FFFF66" w:color="auto" w:val="clear"/>
        </w:rPr>
        <w:t> </w:t>
      </w:r>
      <w:r>
        <w:rPr>
          <w:color w:val="202020"/>
          <w:shd w:fill="FFFF66" w:color="auto" w:val="clear"/>
        </w:rPr>
        <w:t>P.2d</w:t>
      </w:r>
      <w:r>
        <w:rPr>
          <w:color w:val="202020"/>
          <w:spacing w:val="10"/>
          <w:shd w:fill="FFFF66" w:color="auto" w:val="clear"/>
        </w:rPr>
        <w:t> </w:t>
      </w:r>
      <w:r>
        <w:rPr>
          <w:color w:val="202020"/>
          <w:shd w:fill="FFFF66" w:color="auto" w:val="clear"/>
        </w:rPr>
        <w:t>427.)</w:t>
      </w:r>
      <w:r>
        <w:rPr>
          <w:color w:val="202020"/>
          <w:spacing w:val="11"/>
        </w:rPr>
        <w:t> </w:t>
      </w:r>
      <w:r>
        <w:rPr>
          <w:b/>
          <w:shd w:fill="FFFF00" w:color="auto" w:val="clear"/>
        </w:rPr>
        <w:t>However,</w:t>
      </w:r>
    </w:p>
    <w:p>
      <w:pPr>
        <w:pStyle w:val="BodyText"/>
        <w:ind w:left="120" w:right="-15"/>
      </w:pPr>
      <w:r>
        <w:rPr/>
        <w:pict>
          <v:shape style="width:234pt;height:103.5pt;mso-position-horizontal-relative:char;mso-position-vertical-relative:line" type="#_x0000_t202" filled="true" fillcolor="#ffff00" stroked="false">
            <w10:anchorlock/>
            <v:textbox inset="0,0,0,0">
              <w:txbxContent>
                <w:p>
                  <w:pPr>
                    <w:spacing w:before="0"/>
                    <w:ind w:left="0" w:right="-15" w:firstLine="0"/>
                    <w:jc w:val="both"/>
                    <w:rPr>
                      <w:b/>
                      <w:sz w:val="20"/>
                    </w:rPr>
                  </w:pPr>
                  <w:r>
                    <w:rPr>
                      <w:b/>
                      <w:sz w:val="20"/>
                    </w:rPr>
                    <w:t>in response to the holding in </w:t>
                  </w:r>
                  <w:r>
                    <w:rPr>
                      <w:b/>
                      <w:i/>
                      <w:color w:val="202020"/>
                      <w:sz w:val="20"/>
                    </w:rPr>
                    <w:t>Bickel v. City of Piedmont, </w:t>
                  </w:r>
                  <w:r>
                    <w:rPr>
                      <w:b/>
                      <w:sz w:val="20"/>
                    </w:rPr>
                    <w:t>in 1998 the Legislature amended section 65957. It now provides  as  follows:  “The  time  limits  established</w:t>
                  </w:r>
                  <w:r>
                    <w:rPr>
                      <w:b/>
                      <w:spacing w:val="-16"/>
                      <w:sz w:val="20"/>
                    </w:rPr>
                    <w:t> </w:t>
                  </w:r>
                  <w:r>
                    <w:rPr>
                      <w:b/>
                      <w:sz w:val="20"/>
                    </w:rPr>
                    <w:t>by</w:t>
                  </w:r>
                </w:p>
                <w:p>
                  <w:pPr>
                    <w:spacing w:before="0"/>
                    <w:ind w:left="0" w:right="-15" w:firstLine="0"/>
                    <w:jc w:val="both"/>
                    <w:rPr>
                      <w:b/>
                      <w:sz w:val="20"/>
                    </w:rPr>
                  </w:pPr>
                  <w:r>
                    <w:rPr>
                      <w:b/>
                      <w:sz w:val="20"/>
                    </w:rPr>
                    <w:t>**329 </w:t>
                  </w:r>
                  <w:r>
                    <w:rPr>
                      <w:b/>
                      <w:color w:val="0000FF"/>
                      <w:sz w:val="20"/>
                    </w:rPr>
                    <w:t>Sections 65950</w:t>
                  </w:r>
                  <w:r>
                    <w:rPr>
                      <w:b/>
                      <w:sz w:val="20"/>
                    </w:rPr>
                    <w:t>, </w:t>
                  </w:r>
                  <w:r>
                    <w:rPr>
                      <w:b/>
                      <w:color w:val="0000FF"/>
                      <w:sz w:val="20"/>
                    </w:rPr>
                    <w:t>65950.1</w:t>
                  </w:r>
                  <w:r>
                    <w:rPr>
                      <w:b/>
                      <w:sz w:val="20"/>
                    </w:rPr>
                    <w:t>, </w:t>
                  </w:r>
                  <w:r>
                    <w:rPr>
                      <w:b/>
                      <w:color w:val="0000FF"/>
                      <w:sz w:val="20"/>
                    </w:rPr>
                    <w:t>65951</w:t>
                  </w:r>
                  <w:r>
                    <w:rPr>
                      <w:b/>
                      <w:sz w:val="20"/>
                    </w:rPr>
                    <w:t>, and </w:t>
                  </w:r>
                  <w:r>
                    <w:rPr>
                      <w:b/>
                      <w:color w:val="0000FF"/>
                      <w:sz w:val="20"/>
                    </w:rPr>
                    <w:t>65952 </w:t>
                  </w:r>
                  <w:r>
                    <w:rPr>
                      <w:b/>
                      <w:sz w:val="20"/>
                    </w:rPr>
                    <w:t>may be extended once upon mutual written agreement of the project applicant and the public agency for a period not to exceed 90 days from the date of the extension. No other extension, continuance, or waiver of</w:t>
                  </w:r>
                  <w:r>
                    <w:rPr>
                      <w:b/>
                      <w:spacing w:val="19"/>
                      <w:sz w:val="20"/>
                    </w:rPr>
                    <w:t> </w:t>
                  </w:r>
                  <w:r>
                    <w:rPr>
                      <w:b/>
                      <w:sz w:val="20"/>
                    </w:rPr>
                    <w:t>these</w:t>
                  </w:r>
                  <w:r>
                    <w:rPr>
                      <w:b/>
                      <w:spacing w:val="19"/>
                      <w:sz w:val="20"/>
                    </w:rPr>
                    <w:t> </w:t>
                  </w:r>
                  <w:r>
                    <w:rPr>
                      <w:b/>
                      <w:sz w:val="20"/>
                    </w:rPr>
                    <w:t>time</w:t>
                  </w:r>
                  <w:r>
                    <w:rPr>
                      <w:b/>
                      <w:spacing w:val="18"/>
                      <w:sz w:val="20"/>
                    </w:rPr>
                    <w:t> </w:t>
                  </w:r>
                  <w:r>
                    <w:rPr>
                      <w:b/>
                      <w:sz w:val="20"/>
                    </w:rPr>
                    <w:t>limits</w:t>
                  </w:r>
                  <w:r>
                    <w:rPr>
                      <w:b/>
                      <w:spacing w:val="20"/>
                      <w:sz w:val="20"/>
                    </w:rPr>
                    <w:t> </w:t>
                  </w:r>
                  <w:r>
                    <w:rPr>
                      <w:b/>
                      <w:sz w:val="20"/>
                    </w:rPr>
                    <w:t>either</w:t>
                  </w:r>
                  <w:r>
                    <w:rPr>
                      <w:b/>
                      <w:spacing w:val="18"/>
                      <w:sz w:val="20"/>
                    </w:rPr>
                    <w:t> </w:t>
                  </w:r>
                  <w:r>
                    <w:rPr>
                      <w:b/>
                      <w:sz w:val="20"/>
                    </w:rPr>
                    <w:t>by</w:t>
                  </w:r>
                  <w:r>
                    <w:rPr>
                      <w:b/>
                      <w:spacing w:val="20"/>
                      <w:sz w:val="20"/>
                    </w:rPr>
                    <w:t> </w:t>
                  </w:r>
                  <w:r>
                    <w:rPr>
                      <w:b/>
                      <w:sz w:val="20"/>
                    </w:rPr>
                    <w:t>the</w:t>
                  </w:r>
                  <w:r>
                    <w:rPr>
                      <w:b/>
                      <w:spacing w:val="19"/>
                      <w:sz w:val="20"/>
                    </w:rPr>
                    <w:t> </w:t>
                  </w:r>
                  <w:r>
                    <w:rPr>
                      <w:b/>
                      <w:sz w:val="20"/>
                    </w:rPr>
                    <w:t>project</w:t>
                  </w:r>
                  <w:r>
                    <w:rPr>
                      <w:b/>
                      <w:spacing w:val="21"/>
                      <w:sz w:val="20"/>
                    </w:rPr>
                    <w:t> </w:t>
                  </w:r>
                  <w:r>
                    <w:rPr>
                      <w:b/>
                      <w:sz w:val="20"/>
                    </w:rPr>
                    <w:t>applicant</w:t>
                  </w:r>
                  <w:r>
                    <w:rPr>
                      <w:b/>
                      <w:spacing w:val="21"/>
                      <w:sz w:val="20"/>
                    </w:rPr>
                    <w:t> </w:t>
                  </w:r>
                  <w:r>
                    <w:rPr>
                      <w:b/>
                      <w:sz w:val="20"/>
                    </w:rPr>
                    <w:t>or</w:t>
                  </w:r>
                </w:p>
              </w:txbxContent>
            </v:textbox>
            <v:fill type="solid"/>
          </v:shape>
        </w:pict>
      </w:r>
      <w:r>
        <w:rPr/>
      </w:r>
    </w:p>
    <w:p>
      <w:pPr>
        <w:spacing w:before="0"/>
        <w:ind w:left="119" w:right="40" w:firstLine="0"/>
        <w:jc w:val="both"/>
        <w:rPr>
          <w:sz w:val="20"/>
        </w:rPr>
      </w:pPr>
      <w:r>
        <w:rPr>
          <w:b/>
          <w:sz w:val="20"/>
          <w:shd w:fill="FFFF00" w:color="auto" w:val="clear"/>
        </w:rPr>
        <w:t>the lead agency shall be permitted</w:t>
      </w:r>
      <w:r>
        <w:rPr>
          <w:b/>
          <w:sz w:val="20"/>
        </w:rPr>
        <w:t>, </w:t>
      </w:r>
      <w:r>
        <w:rPr>
          <w:sz w:val="20"/>
        </w:rPr>
        <w:t>except as provided in this section and </w:t>
      </w:r>
      <w:r>
        <w:rPr>
          <w:color w:val="0000FF"/>
          <w:sz w:val="20"/>
        </w:rPr>
        <w:t>Section 65950.1</w:t>
      </w:r>
      <w:r>
        <w:rPr>
          <w:sz w:val="20"/>
        </w:rPr>
        <w:t>. Failure of the lead agency</w:t>
      </w:r>
      <w:r>
        <w:rPr>
          <w:spacing w:val="26"/>
          <w:sz w:val="20"/>
        </w:rPr>
        <w:t> </w:t>
      </w:r>
      <w:r>
        <w:rPr>
          <w:sz w:val="20"/>
        </w:rPr>
        <w:t>to</w:t>
      </w:r>
      <w:r>
        <w:rPr>
          <w:spacing w:val="29"/>
          <w:sz w:val="20"/>
        </w:rPr>
        <w:t> </w:t>
      </w:r>
      <w:r>
        <w:rPr>
          <w:sz w:val="20"/>
        </w:rPr>
        <w:t>act</w:t>
      </w:r>
      <w:r>
        <w:rPr>
          <w:spacing w:val="27"/>
          <w:sz w:val="20"/>
        </w:rPr>
        <w:t> </w:t>
      </w:r>
      <w:r>
        <w:rPr>
          <w:sz w:val="20"/>
        </w:rPr>
        <w:t>within</w:t>
      </w:r>
      <w:r>
        <w:rPr>
          <w:spacing w:val="29"/>
          <w:sz w:val="20"/>
        </w:rPr>
        <w:t> </w:t>
      </w:r>
      <w:r>
        <w:rPr>
          <w:sz w:val="20"/>
        </w:rPr>
        <w:t>these</w:t>
      </w:r>
      <w:r>
        <w:rPr>
          <w:spacing w:val="27"/>
          <w:sz w:val="20"/>
        </w:rPr>
        <w:t> </w:t>
      </w:r>
      <w:r>
        <w:rPr>
          <w:sz w:val="20"/>
        </w:rPr>
        <w:t>time</w:t>
      </w:r>
      <w:r>
        <w:rPr>
          <w:spacing w:val="28"/>
          <w:sz w:val="20"/>
        </w:rPr>
        <w:t> </w:t>
      </w:r>
      <w:r>
        <w:rPr>
          <w:sz w:val="20"/>
        </w:rPr>
        <w:t>limits</w:t>
      </w:r>
      <w:r>
        <w:rPr>
          <w:spacing w:val="29"/>
          <w:sz w:val="20"/>
        </w:rPr>
        <w:t> </w:t>
      </w:r>
      <w:r>
        <w:rPr>
          <w:sz w:val="20"/>
        </w:rPr>
        <w:t>may</w:t>
      </w:r>
      <w:r>
        <w:rPr>
          <w:spacing w:val="29"/>
          <w:sz w:val="20"/>
        </w:rPr>
        <w:t> </w:t>
      </w:r>
      <w:r>
        <w:rPr>
          <w:sz w:val="20"/>
        </w:rPr>
        <w:t>result</w:t>
      </w:r>
      <w:r>
        <w:rPr>
          <w:spacing w:val="27"/>
          <w:sz w:val="20"/>
        </w:rPr>
        <w:t> </w:t>
      </w:r>
      <w:r>
        <w:rPr>
          <w:sz w:val="20"/>
        </w:rPr>
        <w:t>in</w:t>
      </w:r>
      <w:r>
        <w:rPr>
          <w:spacing w:val="28"/>
          <w:sz w:val="20"/>
        </w:rPr>
        <w:t> </w:t>
      </w:r>
      <w:r>
        <w:rPr>
          <w:sz w:val="20"/>
        </w:rPr>
        <w:t>the</w:t>
      </w:r>
    </w:p>
    <w:p>
      <w:pPr>
        <w:pStyle w:val="BodyText"/>
        <w:rPr>
          <w:sz w:val="22"/>
        </w:rPr>
      </w:pPr>
      <w:r>
        <w:rPr/>
        <w:br w:type="column"/>
      </w:r>
      <w:r>
        <w:rPr>
          <w:sz w:val="22"/>
        </w:rPr>
      </w:r>
    </w:p>
    <w:p>
      <w:pPr>
        <w:pStyle w:val="BodyText"/>
        <w:rPr>
          <w:sz w:val="32"/>
        </w:rPr>
      </w:pPr>
    </w:p>
    <w:p>
      <w:pPr>
        <w:pStyle w:val="BodyText"/>
        <w:spacing w:before="1"/>
        <w:ind w:left="119" w:right="115"/>
        <w:jc w:val="both"/>
      </w:pPr>
      <w:r>
        <w:rPr/>
        <w:t>Although the amended version of section 65957 only became effective on January 1, 1999, because on its face it clarified rather than altered the previous provisions of the PSA, Palomar argues that the amended version applies to its initial 1987 application for an MUP. (See </w:t>
      </w:r>
      <w:r>
        <w:rPr>
          <w:i/>
          <w:color w:val="0000FF"/>
        </w:rPr>
        <w:t>City of </w:t>
      </w:r>
      <w:r>
        <w:rPr>
          <w:i/>
          <w:color w:val="0000FF"/>
        </w:rPr>
        <w:t>Redlands v. Sorensen </w:t>
      </w:r>
      <w:r>
        <w:rPr>
          <w:color w:val="0000FF"/>
        </w:rPr>
        <w:t>(1985) 176 Cal.App.3d 202, 211, 221 Cal.Rptr. 728; </w:t>
      </w:r>
      <w:r>
        <w:rPr>
          <w:i/>
          <w:color w:val="0000FF"/>
        </w:rPr>
        <w:t>Re–Open Rambla, Inc. v. Board of </w:t>
      </w:r>
      <w:r>
        <w:rPr>
          <w:i/>
          <w:color w:val="0000FF"/>
        </w:rPr>
        <w:t>Supervisors </w:t>
      </w:r>
      <w:r>
        <w:rPr>
          <w:color w:val="0000FF"/>
        </w:rPr>
        <w:t>(1995) 39 Cal.App.4th 1499, 1510–1511, 46 Cal.Rptr.2d 822.) </w:t>
      </w:r>
      <w:r>
        <w:rPr/>
        <w:t>In light of the amendment, Palomar argues its 1987 application for an MUP was approved by operation of</w:t>
      </w:r>
      <w:r>
        <w:rPr>
          <w:spacing w:val="-2"/>
        </w:rPr>
        <w:t> </w:t>
      </w:r>
      <w:r>
        <w:rPr/>
        <w:t>law.</w:t>
      </w:r>
    </w:p>
    <w:p>
      <w:pPr>
        <w:pStyle w:val="BodyText"/>
      </w:pPr>
    </w:p>
    <w:p>
      <w:pPr>
        <w:pStyle w:val="BodyText"/>
        <w:ind w:left="119" w:right="115"/>
        <w:jc w:val="both"/>
      </w:pPr>
      <w:r>
        <w:rPr/>
        <w:t>Notwithstanding the amendments to the PSA, the record discloses two circumstances that prevent us from applying the act’s automatic approval provision to Palomar’s initial MUP application.</w:t>
      </w:r>
    </w:p>
    <w:p>
      <w:pPr>
        <w:pStyle w:val="BodyText"/>
        <w:rPr>
          <w:sz w:val="22"/>
        </w:rPr>
      </w:pPr>
    </w:p>
    <w:p>
      <w:pPr>
        <w:pStyle w:val="BodyText"/>
        <w:rPr>
          <w:sz w:val="22"/>
        </w:rPr>
      </w:pPr>
    </w:p>
    <w:p>
      <w:pPr>
        <w:pStyle w:val="BodyText"/>
        <w:rPr>
          <w:sz w:val="22"/>
        </w:rPr>
      </w:pPr>
    </w:p>
    <w:p>
      <w:pPr>
        <w:pStyle w:val="BodyText"/>
        <w:spacing w:before="10"/>
        <w:rPr>
          <w:sz w:val="28"/>
        </w:rPr>
      </w:pPr>
    </w:p>
    <w:p>
      <w:pPr>
        <w:pStyle w:val="ListParagraph"/>
        <w:numPr>
          <w:ilvl w:val="0"/>
          <w:numId w:val="6"/>
        </w:numPr>
        <w:tabs>
          <w:tab w:pos="555" w:val="left" w:leader="none"/>
        </w:tabs>
        <w:spacing w:line="229" w:lineRule="exact" w:before="0" w:after="0"/>
        <w:ind w:left="554" w:right="0" w:hanging="235"/>
        <w:jc w:val="both"/>
        <w:rPr>
          <w:rFonts w:ascii="Times New Roman"/>
          <w:i/>
          <w:sz w:val="20"/>
        </w:rPr>
      </w:pPr>
      <w:r>
        <w:rPr>
          <w:rFonts w:ascii="Times New Roman"/>
          <w:i/>
          <w:sz w:val="20"/>
        </w:rPr>
        <w:t>Environmental</w:t>
      </w:r>
      <w:r>
        <w:rPr>
          <w:rFonts w:ascii="Times New Roman"/>
          <w:i/>
          <w:spacing w:val="-1"/>
          <w:sz w:val="20"/>
        </w:rPr>
        <w:t> </w:t>
      </w:r>
      <w:r>
        <w:rPr>
          <w:rFonts w:ascii="Times New Roman"/>
          <w:i/>
          <w:sz w:val="20"/>
        </w:rPr>
        <w:t>Exception</w:t>
      </w:r>
    </w:p>
    <w:p>
      <w:pPr>
        <w:pStyle w:val="BodyText"/>
        <w:ind w:left="119" w:right="113"/>
        <w:jc w:val="both"/>
      </w:pPr>
      <w:r>
        <w:rPr/>
        <w:t>In arguing for strict interpretation of the PSA, which was eventually adopted by the Legislature, Justice Baxter noted in his dissent in </w:t>
      </w:r>
      <w:r>
        <w:rPr>
          <w:i/>
          <w:color w:val="202020"/>
          <w:shd w:fill="FFFF66" w:color="auto" w:val="clear"/>
        </w:rPr>
        <w:t>Bickel:</w:t>
      </w:r>
      <w:r>
        <w:rPr>
          <w:i/>
          <w:color w:val="202020"/>
        </w:rPr>
        <w:t> </w:t>
      </w:r>
      <w:r>
        <w:rPr>
          <w:b/>
        </w:rPr>
        <w:t>*1440 </w:t>
      </w:r>
      <w:r>
        <w:rPr/>
        <w:t>“The Act has long made provision for the extra time necessary to consider more complex projects which involve significant environmental issues. At the time pertinent here, the Act required final approval or disapproval within six months after ‘comple[tion]’ of the application in cases involving negative declarations under CEQA, but doubled the decision time to one year if an EIR was required. [Citation.] Since 1983 the Act has also made clear that if an EIR is required, and the time to prepare and certify this document has been extended pursuant to CEQA, the deadline for final approval or disapproval will not run until 90 days after certification of the EIR. [Citation.] Furthermore, the current version of the Act measures </w:t>
      </w:r>
      <w:r>
        <w:rPr>
          <w:i/>
        </w:rPr>
        <w:t>all </w:t>
      </w:r>
      <w:r>
        <w:rPr/>
        <w:t>time limits for final approval or disapproval in terms</w:t>
      </w:r>
      <w:r>
        <w:rPr>
          <w:spacing w:val="26"/>
        </w:rPr>
        <w:t> </w:t>
      </w:r>
      <w:r>
        <w:rPr/>
        <w:t>of</w:t>
      </w:r>
    </w:p>
    <w:p>
      <w:pPr>
        <w:spacing w:after="0"/>
        <w:jc w:val="both"/>
        <w:sectPr>
          <w:type w:val="continuous"/>
          <w:pgSz w:w="12240" w:h="15840"/>
          <w:pgMar w:top="1500" w:bottom="1060" w:left="960" w:right="960"/>
          <w:cols w:num="2" w:equalWidth="0">
            <w:col w:w="4844" w:space="556"/>
            <w:col w:w="4920"/>
          </w:cols>
        </w:sectPr>
      </w:pPr>
    </w:p>
    <w:p>
      <w:pPr>
        <w:spacing w:before="80"/>
        <w:ind w:left="1852" w:right="1852" w:firstLine="0"/>
        <w:jc w:val="center"/>
        <w:rPr>
          <w:rFonts w:ascii="Arial"/>
          <w:sz w:val="28"/>
        </w:rPr>
      </w:pPr>
      <w:r>
        <w:rPr>
          <w:rFonts w:ascii="Arial"/>
          <w:color w:val="26282A"/>
          <w:sz w:val="28"/>
          <w:u w:val="thick" w:color="26282A"/>
        </w:rPr>
        <w:t>THIRD ATTACHMENT</w:t>
      </w:r>
    </w:p>
    <w:p>
      <w:pPr>
        <w:pStyle w:val="BodyText"/>
        <w:rPr>
          <w:rFonts w:ascii="Arial"/>
        </w:rPr>
      </w:pPr>
    </w:p>
    <w:p>
      <w:pPr>
        <w:pStyle w:val="BodyText"/>
        <w:rPr>
          <w:rFonts w:ascii="Arial"/>
        </w:rPr>
      </w:pPr>
    </w:p>
    <w:p>
      <w:pPr>
        <w:pStyle w:val="BodyText"/>
        <w:spacing w:before="8"/>
        <w:rPr>
          <w:rFonts w:ascii="Arial"/>
          <w:sz w:val="28"/>
        </w:rPr>
      </w:pPr>
    </w:p>
    <w:p>
      <w:pPr>
        <w:spacing w:before="90"/>
        <w:ind w:left="480" w:right="574" w:firstLine="0"/>
        <w:jc w:val="both"/>
        <w:rPr>
          <w:rFonts w:ascii="Arial" w:hAnsi="Arial"/>
          <w:sz w:val="28"/>
        </w:rPr>
      </w:pPr>
      <w:r>
        <w:rPr>
          <w:rFonts w:ascii="Arial" w:hAnsi="Arial"/>
          <w:color w:val="26282A"/>
          <w:sz w:val="28"/>
        </w:rPr>
        <w:t>Gov. Code section 65943(a), providing that upon receipt of any resubmittal of an application, a “new 30-day period” for determination the application is substantially complete shall begin.</w:t>
      </w:r>
    </w:p>
    <w:p>
      <w:pPr>
        <w:spacing w:after="0"/>
        <w:jc w:val="both"/>
        <w:rPr>
          <w:rFonts w:ascii="Arial" w:hAnsi="Arial"/>
          <w:sz w:val="28"/>
        </w:rPr>
        <w:sectPr>
          <w:footerReference w:type="default" r:id="rId12"/>
          <w:pgSz w:w="12240" w:h="15840"/>
          <w:pgMar w:footer="0" w:header="0" w:top="1360" w:bottom="280" w:left="960" w:right="960"/>
        </w:sectPr>
      </w:pPr>
    </w:p>
    <w:p>
      <w:pPr>
        <w:spacing w:before="76"/>
        <w:ind w:left="120" w:right="0" w:firstLine="0"/>
        <w:jc w:val="left"/>
        <w:rPr>
          <w:rFonts w:ascii="Arial"/>
          <w:b/>
          <w:sz w:val="18"/>
        </w:rPr>
      </w:pPr>
      <w:r>
        <w:rPr/>
        <w:pict>
          <v:group style="position:absolute;margin-left:54pt;margin-top:17.342884pt;width:504pt;height:1pt;mso-position-horizontal-relative:page;mso-position-vertical-relative:paragraph;z-index:-251646976;mso-wrap-distance-left:0;mso-wrap-distance-right:0" coordorigin="1080,347" coordsize="10080,20">
            <v:line style="position:absolute" from="1080,356" to="10460,356" stroked="true" strokeweight=".959pt" strokecolor="#acacac">
              <v:stroke dashstyle="solid"/>
            </v:line>
            <v:rect style="position:absolute;left:10460;top:346;width:20;height:20" filled="true" fillcolor="#acacac" stroked="false">
              <v:fill type="solid"/>
            </v:rect>
            <v:line style="position:absolute" from="10480,356" to="11160,356" stroked="true" strokeweight=".959pt" strokecolor="#acacac">
              <v:stroke dashstyle="solid"/>
            </v:line>
            <w10:wrap type="topAndBottom"/>
          </v:group>
        </w:pict>
      </w:r>
      <w:r>
        <w:rPr>
          <w:rFonts w:ascii="Arial"/>
          <w:b/>
          <w:sz w:val="18"/>
        </w:rPr>
        <w:t>Gov. Code 65943 (version in effect Jan. 1 1990 to Jan. 1 2020)</w:t>
      </w:r>
    </w:p>
    <w:p>
      <w:pPr>
        <w:pStyle w:val="BodyText"/>
        <w:rPr>
          <w:rFonts w:ascii="Arial"/>
          <w:b/>
        </w:rPr>
      </w:pPr>
    </w:p>
    <w:p>
      <w:pPr>
        <w:pStyle w:val="BodyText"/>
        <w:rPr>
          <w:rFonts w:ascii="Arial"/>
          <w:b/>
        </w:rPr>
      </w:pPr>
    </w:p>
    <w:p>
      <w:pPr>
        <w:pStyle w:val="BodyText"/>
        <w:rPr>
          <w:rFonts w:ascii="Arial"/>
          <w:b/>
        </w:rPr>
      </w:pPr>
    </w:p>
    <w:p>
      <w:pPr>
        <w:pStyle w:val="BodyText"/>
        <w:spacing w:before="4"/>
        <w:rPr>
          <w:rFonts w:ascii="Arial"/>
          <w:b/>
          <w:sz w:val="19"/>
        </w:rPr>
      </w:pPr>
    </w:p>
    <w:p>
      <w:pPr>
        <w:pStyle w:val="BodyText"/>
        <w:ind w:left="1852" w:right="1852"/>
        <w:jc w:val="center"/>
        <w:rPr>
          <w:rFonts w:ascii="Georgia"/>
        </w:rPr>
      </w:pPr>
      <w:r>
        <w:rPr>
          <w:rFonts w:ascii="Georgia"/>
        </w:rPr>
        <w:t>1989 Cal. Legis. Serv. 612</w:t>
      </w:r>
      <w:r>
        <w:rPr>
          <w:rFonts w:ascii="Georgia"/>
          <w:spacing w:val="-11"/>
        </w:rPr>
        <w:t> </w:t>
      </w:r>
      <w:r>
        <w:rPr>
          <w:rFonts w:ascii="Georgia"/>
        </w:rPr>
        <w:t>(West)</w:t>
      </w:r>
    </w:p>
    <w:p>
      <w:pPr>
        <w:pStyle w:val="BodyText"/>
        <w:rPr>
          <w:rFonts w:ascii="Georgia"/>
          <w:sz w:val="22"/>
        </w:rPr>
      </w:pPr>
    </w:p>
    <w:p>
      <w:pPr>
        <w:pStyle w:val="BodyText"/>
        <w:spacing w:line="448" w:lineRule="auto" w:before="148"/>
        <w:ind w:left="3085" w:right="3083"/>
        <w:jc w:val="center"/>
      </w:pPr>
      <w:r>
        <w:rPr/>
        <w:t>CALIFORNIA LEGISLATIVE SERVICE</w:t>
      </w:r>
      <w:r>
        <w:rPr>
          <w:spacing w:val="-17"/>
        </w:rPr>
        <w:t> </w:t>
      </w:r>
      <w:r>
        <w:rPr/>
        <w:t>1989-90 REGULAR SESSION (1989</w:t>
      </w:r>
      <w:r>
        <w:rPr>
          <w:spacing w:val="-6"/>
        </w:rPr>
        <w:t> </w:t>
      </w:r>
      <w:r>
        <w:rPr/>
        <w:t>Laws)</w:t>
      </w:r>
    </w:p>
    <w:p>
      <w:pPr>
        <w:pStyle w:val="BodyText"/>
        <w:spacing w:line="448" w:lineRule="auto" w:before="1"/>
        <w:ind w:left="3083" w:right="3083"/>
        <w:jc w:val="center"/>
      </w:pPr>
      <w:r>
        <w:rPr/>
        <w:t>Additions are indicated by &lt;&lt;+ UPPERCASE +&gt;&gt; Deletions by &lt;&lt;- *** -&gt;&gt;</w:t>
      </w:r>
    </w:p>
    <w:p>
      <w:pPr>
        <w:pStyle w:val="BodyText"/>
        <w:ind w:left="1852" w:right="1852"/>
        <w:jc w:val="center"/>
      </w:pPr>
      <w:r>
        <w:rPr/>
        <w:t>CHAPTER 612</w:t>
      </w:r>
    </w:p>
    <w:p>
      <w:pPr>
        <w:pStyle w:val="BodyText"/>
        <w:spacing w:before="4"/>
        <w:rPr>
          <w:sz w:val="17"/>
        </w:rPr>
      </w:pPr>
    </w:p>
    <w:p>
      <w:pPr>
        <w:pStyle w:val="BodyText"/>
        <w:spacing w:line="230" w:lineRule="exact"/>
        <w:ind w:left="1852" w:right="1853"/>
        <w:jc w:val="center"/>
      </w:pPr>
      <w:r>
        <w:rPr/>
        <w:t>A.B.No. 1838</w:t>
      </w:r>
    </w:p>
    <w:p>
      <w:pPr>
        <w:pStyle w:val="BodyText"/>
        <w:spacing w:line="230" w:lineRule="exact"/>
        <w:ind w:left="1852" w:right="1852"/>
        <w:jc w:val="center"/>
      </w:pPr>
      <w:r>
        <w:rPr/>
        <w:t>DEVELOPMENT PROJECTS—INCOMPLETE APPLICATIONS—FEES</w:t>
      </w:r>
    </w:p>
    <w:p>
      <w:pPr>
        <w:pStyle w:val="BodyText"/>
        <w:rPr>
          <w:sz w:val="22"/>
        </w:rPr>
      </w:pPr>
    </w:p>
    <w:p>
      <w:pPr>
        <w:pStyle w:val="BodyText"/>
        <w:spacing w:before="149"/>
        <w:ind w:left="299" w:right="117"/>
        <w:jc w:val="both"/>
      </w:pPr>
      <w:r>
        <w:rPr/>
        <w:t>AN ACT to amend Section 65943, as amended by Section 3 of Chapter 985 of the Statutes of 1987 of, and to repeal Section 65943, as added by Section 4 of Chapter 985 of the Statutes of 1987 of, the Government Code, relating to development</w:t>
      </w:r>
      <w:r>
        <w:rPr>
          <w:spacing w:val="-2"/>
        </w:rPr>
        <w:t> </w:t>
      </w:r>
      <w:r>
        <w:rPr/>
        <w:t>projects.</w:t>
      </w:r>
    </w:p>
    <w:p>
      <w:pPr>
        <w:pStyle w:val="BodyText"/>
        <w:rPr>
          <w:sz w:val="22"/>
        </w:rPr>
      </w:pPr>
    </w:p>
    <w:p>
      <w:pPr>
        <w:pStyle w:val="BodyText"/>
        <w:spacing w:line="657" w:lineRule="auto" w:before="147"/>
        <w:ind w:left="119" w:right="6054"/>
      </w:pPr>
      <w:r>
        <w:rPr/>
        <w:t>[Approved by Governor September 20, 1989.] [Filed with Secretary of State September 21, 1989.]</w:t>
      </w:r>
    </w:p>
    <w:p>
      <w:pPr>
        <w:pStyle w:val="BodyText"/>
        <w:ind w:left="1852" w:right="1853"/>
        <w:jc w:val="center"/>
      </w:pPr>
      <w:r>
        <w:rPr/>
        <w:t>The people of the State of California do enact as follows:</w:t>
      </w:r>
    </w:p>
    <w:p>
      <w:pPr>
        <w:pStyle w:val="BodyText"/>
        <w:rPr>
          <w:sz w:val="22"/>
        </w:rPr>
      </w:pPr>
    </w:p>
    <w:p>
      <w:pPr>
        <w:pStyle w:val="BodyText"/>
        <w:spacing w:before="147"/>
        <w:ind w:left="1852" w:right="1852"/>
        <w:jc w:val="center"/>
      </w:pPr>
      <w:r>
        <w:rPr/>
        <w:t>CA GOVT § 65943</w:t>
      </w:r>
    </w:p>
    <w:p>
      <w:pPr>
        <w:pStyle w:val="BodyText"/>
        <w:spacing w:before="4"/>
        <w:rPr>
          <w:sz w:val="17"/>
        </w:rPr>
      </w:pPr>
    </w:p>
    <w:p>
      <w:pPr>
        <w:pStyle w:val="BodyText"/>
        <w:ind w:left="119" w:right="122"/>
        <w:jc w:val="both"/>
      </w:pPr>
      <w:r>
        <w:rPr/>
        <w:t>SECTION 1. Section 65943 of the Government Code, as amended by Section 3 of Chapter 985 of the Statutes of 1987, is amended to read:</w:t>
      </w:r>
    </w:p>
    <w:p>
      <w:pPr>
        <w:pStyle w:val="BodyText"/>
        <w:ind w:left="120" w:right="111"/>
        <w:jc w:val="both"/>
      </w:pPr>
      <w:r>
        <w:rPr/>
        <w:t>65943. (a) Not later than 30 calendar days after any public agency has received an application for a development project, the agency shall determine in writing whether the application is complete and shall immediately transmit the determination to the applicant for the development project. If the written determination is not made within 30 days after receipt of the application, and the application includes a statement that it is an application for a development permit, the application shall be deemed complete for purposes of this chapter. </w:t>
      </w:r>
      <w:r>
        <w:rPr>
          <w:b/>
          <w:shd w:fill="FFFF00" w:color="auto" w:val="clear"/>
        </w:rPr>
        <w:t>Upon receipt of any resubmittal of the application, a new 30-day period shall</w:t>
      </w:r>
      <w:r>
        <w:rPr>
          <w:b/>
        </w:rPr>
        <w:t> </w:t>
      </w:r>
      <w:r>
        <w:rPr>
          <w:b/>
          <w:shd w:fill="FFFF00" w:color="auto" w:val="clear"/>
        </w:rPr>
        <w:t>begin, during which the public agency shall determine the completeness of the application</w:t>
      </w:r>
      <w:r>
        <w:rPr>
          <w:shd w:fill="FFFF00" w:color="auto" w:val="clear"/>
        </w:rPr>
        <w:t>.</w:t>
      </w:r>
      <w:r>
        <w:rPr/>
        <w:t> If the application is determined not to be complete, the agency’s determination shall specify those parts of the application which are incomplete and shall indicate the manner in which they can be made complete, including a list and thorough description of the specific information needed to complete the application. The applicant shall submit materials to the public agency in response to the list and description.</w:t>
      </w:r>
    </w:p>
    <w:p>
      <w:pPr>
        <w:pStyle w:val="ListParagraph"/>
        <w:numPr>
          <w:ilvl w:val="0"/>
          <w:numId w:val="7"/>
        </w:numPr>
        <w:tabs>
          <w:tab w:pos="433" w:val="left" w:leader="none"/>
        </w:tabs>
        <w:spacing w:line="240" w:lineRule="auto" w:before="0" w:after="0"/>
        <w:ind w:left="120" w:right="115" w:firstLine="0"/>
        <w:jc w:val="both"/>
        <w:rPr>
          <w:rFonts w:ascii="Times New Roman"/>
          <w:sz w:val="20"/>
        </w:rPr>
      </w:pPr>
      <w:r>
        <w:rPr>
          <w:rFonts w:ascii="Times New Roman"/>
          <w:sz w:val="20"/>
        </w:rPr>
        <w:t>Not later than 30 calendar days after receipt of the submitted materials, the public agency shall determine in writing whether they are complete and shall immediately transmit that determination to the applicant. If the written determination is not made within that 30-day period, the application together with the submitted materials shall be deemed complete for purposes of this</w:t>
      </w:r>
      <w:r>
        <w:rPr>
          <w:rFonts w:ascii="Times New Roman"/>
          <w:spacing w:val="-2"/>
          <w:sz w:val="20"/>
        </w:rPr>
        <w:t> </w:t>
      </w:r>
      <w:r>
        <w:rPr>
          <w:rFonts w:ascii="Times New Roman"/>
          <w:sz w:val="20"/>
        </w:rPr>
        <w:t>chapter.</w:t>
      </w:r>
    </w:p>
    <w:p>
      <w:pPr>
        <w:pStyle w:val="ListParagraph"/>
        <w:numPr>
          <w:ilvl w:val="0"/>
          <w:numId w:val="7"/>
        </w:numPr>
        <w:tabs>
          <w:tab w:pos="398" w:val="left" w:leader="none"/>
        </w:tabs>
        <w:spacing w:line="240" w:lineRule="auto" w:before="0" w:after="0"/>
        <w:ind w:left="120" w:right="117" w:firstLine="0"/>
        <w:jc w:val="both"/>
        <w:rPr>
          <w:rFonts w:ascii="Times New Roman"/>
          <w:sz w:val="20"/>
        </w:rPr>
      </w:pPr>
      <w:r>
        <w:rPr>
          <w:rFonts w:ascii="Times New Roman"/>
          <w:sz w:val="20"/>
        </w:rPr>
        <w:t>If the application together with the submitted materials are determined not to be complete pursuant to subdivision (b), the public agency shall provide a process for the applicant to appeal that decision in writing to the governing body of the agency or, if there is no governing body, to the director of the agency, as provided by that agency. A city or county shall provide that the right of appeal is to the governing body or, at their option, the planning commission, or</w:t>
      </w:r>
      <w:r>
        <w:rPr>
          <w:rFonts w:ascii="Times New Roman"/>
          <w:spacing w:val="-22"/>
          <w:sz w:val="20"/>
        </w:rPr>
        <w:t> </w:t>
      </w:r>
      <w:r>
        <w:rPr>
          <w:rFonts w:ascii="Times New Roman"/>
          <w:sz w:val="20"/>
        </w:rPr>
        <w:t>both.</w:t>
      </w:r>
    </w:p>
    <w:p>
      <w:pPr>
        <w:pStyle w:val="BodyText"/>
        <w:ind w:left="119" w:right="118"/>
        <w:jc w:val="both"/>
      </w:pPr>
      <w:r>
        <w:rPr/>
        <w:t>There shall be a final written determination by the agency on the appeal not later than 60 calendar days after receipt of the applicant’s written appeal. The fact that an appeal is permitted to both the planning commission and to the governing body</w:t>
      </w:r>
    </w:p>
    <w:p>
      <w:pPr>
        <w:spacing w:after="0"/>
        <w:jc w:val="both"/>
        <w:sectPr>
          <w:footerReference w:type="default" r:id="rId13"/>
          <w:pgSz w:w="12240" w:h="15840"/>
          <w:pgMar w:footer="1026" w:header="0" w:top="1040" w:bottom="1220" w:left="960" w:right="960"/>
          <w:pgNumType w:start="1"/>
        </w:sectPr>
      </w:pPr>
    </w:p>
    <w:p>
      <w:pPr>
        <w:spacing w:before="76"/>
        <w:ind w:left="120" w:right="0" w:firstLine="0"/>
        <w:jc w:val="left"/>
        <w:rPr>
          <w:rFonts w:ascii="Arial"/>
          <w:b/>
          <w:sz w:val="18"/>
        </w:rPr>
      </w:pPr>
      <w:r>
        <w:rPr/>
        <w:pict>
          <v:group style="position:absolute;margin-left:54pt;margin-top:17.342884pt;width:504pt;height:1pt;mso-position-horizontal-relative:page;mso-position-vertical-relative:paragraph;z-index:-251645952;mso-wrap-distance-left:0;mso-wrap-distance-right:0" coordorigin="1080,347" coordsize="10080,20">
            <v:line style="position:absolute" from="1080,356" to="10460,356" stroked="true" strokeweight=".959pt" strokecolor="#acacac">
              <v:stroke dashstyle="solid"/>
            </v:line>
            <v:rect style="position:absolute;left:10460;top:346;width:20;height:20" filled="true" fillcolor="#acacac" stroked="false">
              <v:fill type="solid"/>
            </v:rect>
            <v:line style="position:absolute" from="10480,356" to="11160,356" stroked="true" strokeweight=".959pt" strokecolor="#acacac">
              <v:stroke dashstyle="solid"/>
            </v:line>
            <w10:wrap type="topAndBottom"/>
          </v:group>
        </w:pict>
      </w:r>
      <w:r>
        <w:rPr>
          <w:rFonts w:ascii="Arial"/>
          <w:b/>
          <w:sz w:val="18"/>
        </w:rPr>
        <w:t>Gov. Code 65943 (version in effect Jan. 1 1990 to Jan. 1 2020)</w:t>
      </w:r>
    </w:p>
    <w:p>
      <w:pPr>
        <w:pStyle w:val="BodyText"/>
        <w:rPr>
          <w:rFonts w:ascii="Arial"/>
          <w:b/>
        </w:rPr>
      </w:pPr>
    </w:p>
    <w:p>
      <w:pPr>
        <w:pStyle w:val="BodyText"/>
        <w:spacing w:before="3"/>
        <w:rPr>
          <w:rFonts w:ascii="Arial"/>
          <w:b/>
          <w:sz w:val="19"/>
        </w:rPr>
      </w:pPr>
    </w:p>
    <w:p>
      <w:pPr>
        <w:pStyle w:val="BodyText"/>
        <w:spacing w:before="1"/>
        <w:ind w:left="120" w:right="116"/>
        <w:jc w:val="both"/>
      </w:pPr>
      <w:r>
        <w:rPr/>
        <w:t>does not extend the 60-day period. Notwithstanding a decision pursuant to subdivision (b) that the application and submitted materials are not complete, if the final written determination on the appeal is not made within that 60-day period, the application with the submitted materials shall be deemed complete for the purposes of this chapter.</w:t>
      </w:r>
    </w:p>
    <w:p>
      <w:pPr>
        <w:pStyle w:val="ListParagraph"/>
        <w:numPr>
          <w:ilvl w:val="0"/>
          <w:numId w:val="7"/>
        </w:numPr>
        <w:tabs>
          <w:tab w:pos="421" w:val="left" w:leader="none"/>
        </w:tabs>
        <w:spacing w:line="240" w:lineRule="auto" w:before="0" w:after="0"/>
        <w:ind w:left="120" w:right="116" w:firstLine="0"/>
        <w:jc w:val="both"/>
        <w:rPr>
          <w:rFonts w:ascii="Times New Roman"/>
          <w:sz w:val="20"/>
        </w:rPr>
      </w:pPr>
      <w:r>
        <w:rPr>
          <w:rFonts w:ascii="Times New Roman"/>
          <w:sz w:val="20"/>
        </w:rPr>
        <w:t>Nothing in this section precludes an applicant and a public agency from mutually agreeing to an extension of any time limit provided by this</w:t>
      </w:r>
      <w:r>
        <w:rPr>
          <w:rFonts w:ascii="Times New Roman"/>
          <w:spacing w:val="-3"/>
          <w:sz w:val="20"/>
        </w:rPr>
        <w:t> </w:t>
      </w:r>
      <w:r>
        <w:rPr>
          <w:rFonts w:ascii="Times New Roman"/>
          <w:sz w:val="20"/>
        </w:rPr>
        <w:t>section.</w:t>
      </w:r>
    </w:p>
    <w:p>
      <w:pPr>
        <w:pStyle w:val="BodyText"/>
        <w:spacing w:line="230" w:lineRule="exact"/>
        <w:ind w:left="120"/>
        <w:jc w:val="both"/>
      </w:pPr>
      <w:r>
        <w:rPr/>
        <w:t>&lt;&lt;-* * *-&gt;&gt;</w:t>
      </w:r>
    </w:p>
    <w:p>
      <w:pPr>
        <w:pStyle w:val="BodyText"/>
        <w:ind w:left="120" w:right="117"/>
        <w:jc w:val="both"/>
      </w:pPr>
      <w:r>
        <w:rPr/>
        <w:t>&lt;&lt;+(E) A PUBLIC AGENCY MAY CHARGE APPLICANTS A FEE NOT TO EXCEED THE AMOUNT REASONABLY NECESSARY TO PROVIDE THE SERVICE REQUIRED BY THIS SECTION. IF A FEE IS CHARGED PURSUANT TO THIS SECTION, THE FEE SHALL BE COLLECTED AS PART OF THE APPLICATION FEE CHARGED FOR THE DEVELOPMENT PERMIT.+&gt;&gt;</w:t>
      </w:r>
    </w:p>
    <w:p>
      <w:pPr>
        <w:pStyle w:val="BodyText"/>
      </w:pPr>
    </w:p>
    <w:p>
      <w:pPr>
        <w:pStyle w:val="BodyText"/>
      </w:pPr>
    </w:p>
    <w:p>
      <w:pPr>
        <w:pStyle w:val="BodyText"/>
        <w:spacing w:before="5"/>
        <w:rPr>
          <w:sz w:val="11"/>
        </w:rPr>
      </w:pPr>
      <w:r>
        <w:rPr/>
        <w:pict>
          <v:group style="position:absolute;margin-left:54pt;margin-top:8.569269pt;width:504pt;height:.5pt;mso-position-horizontal-relative:page;mso-position-vertical-relative:paragraph;z-index:-251644928;mso-wrap-distance-left:0;mso-wrap-distance-right:0" coordorigin="1080,171" coordsize="10080,10">
            <v:line style="position:absolute" from="1080,176" to="5400,176" stroked="true" strokeweight=".481pt" strokecolor="#787878">
              <v:stroke dashstyle="solid"/>
            </v:line>
            <v:rect style="position:absolute;left:5400;top:171;width:10;height:10" filled="true" fillcolor="#787878" stroked="false">
              <v:fill type="solid"/>
            </v:rect>
            <v:line style="position:absolute" from="5410,176" to="11160,176" stroked="true" strokeweight=".481pt" strokecolor="#787878">
              <v:stroke dashstyle="solid"/>
            </v:line>
            <w10:wrap type="topAndBottom"/>
          </v:group>
        </w:pict>
      </w:r>
    </w:p>
    <w:sectPr>
      <w:pgSz w:w="12240" w:h="15840"/>
      <w:pgMar w:header="0" w:footer="1026" w:top="1040" w:bottom="122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300.756592pt;margin-top:735.893555pt;width:12.9pt;height:14.2pt;mso-position-horizontal-relative:page;mso-position-vertical-relative:page;z-index:-252118016" type="#_x0000_t202" filled="false" stroked="false">
          <v:textbox inset="0,0,0,0">
            <w:txbxContent>
              <w:p>
                <w:pPr>
                  <w:spacing w:before="45"/>
                  <w:ind w:left="60" w:right="0" w:firstLine="0"/>
                  <w:jc w:val="left"/>
                  <w:rPr>
                    <w:rFonts w:ascii="Arial"/>
                    <w:sz w:val="19"/>
                  </w:rPr>
                </w:pPr>
                <w:r>
                  <w:rPr/>
                  <w:fldChar w:fldCharType="begin"/>
                </w:r>
                <w:r>
                  <w:rPr>
                    <w:rFonts w:ascii="Arial"/>
                    <w:color w:val="18181C"/>
                    <w:w w:val="102"/>
                    <w:sz w:val="19"/>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199488">
          <wp:simplePos x="0" y="0"/>
          <wp:positionH relativeFrom="page">
            <wp:posOffset>761999</wp:posOffset>
          </wp:positionH>
          <wp:positionV relativeFrom="page">
            <wp:posOffset>9302747</wp:posOffset>
          </wp:positionV>
          <wp:extent cx="590549" cy="9524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90549" cy="95249"/>
                  </a:xfrm>
                  <a:prstGeom prst="rect">
                    <a:avLst/>
                  </a:prstGeom>
                </pic:spPr>
              </pic:pic>
            </a:graphicData>
          </a:graphic>
        </wp:anchor>
      </w:drawing>
    </w:r>
    <w:r>
      <w:rPr/>
      <w:pict>
        <v:group style="position:absolute;margin-left:54pt;margin-top:726.721008pt;width:500pt;height:1pt;mso-position-horizontal-relative:page;mso-position-vertical-relative:page;z-index:-252115968" coordorigin="1080,14534" coordsize="10000,20">
          <v:line style="position:absolute" from="1080,14544" to="10380,14544" stroked="true" strokeweight=".959pt" strokecolor="#acacac">
            <v:stroke dashstyle="solid"/>
          </v:line>
          <v:rect style="position:absolute;left:10380;top:14534;width:20;height:20" filled="true" fillcolor="#acacac" stroked="false">
            <v:fill type="solid"/>
          </v:rect>
          <v:line style="position:absolute" from="10399,14544" to="11080,14544" stroked="true" strokeweight=".959pt" strokecolor="#acacac">
            <v:stroke dashstyle="solid"/>
          </v:line>
          <w10:wrap type="none"/>
        </v:group>
      </w:pict>
    </w:r>
    <w:r>
      <w:rPr/>
      <w:pict>
        <v:shape style="position:absolute;margin-left:115.879997pt;margin-top:729.90918pt;width:321.3pt;height:13.2pt;mso-position-horizontal-relative:page;mso-position-vertical-relative:page;z-index:-252114944" type="#_x0000_t202" filled="false" stroked="false">
          <v:textbox inset="0,0,0,0">
            <w:txbxContent>
              <w:p>
                <w:pPr>
                  <w:pStyle w:val="BodyText"/>
                  <w:spacing w:before="14"/>
                  <w:ind w:left="20"/>
                  <w:rPr>
                    <w:rFonts w:ascii="Arial" w:hAnsi="Arial"/>
                  </w:rPr>
                </w:pPr>
                <w:r>
                  <w:rPr>
                    <w:rFonts w:ascii="Arial" w:hAnsi="Arial"/>
                    <w:color w:val="ACACAC"/>
                  </w:rPr>
                  <w:t>© 2020 Thomson Reuters. No claim to original U.S. Government Works.</w:t>
                </w:r>
              </w:p>
            </w:txbxContent>
          </v:textbox>
          <w10:wrap type="none"/>
        </v:shape>
      </w:pict>
    </w:r>
    <w:r>
      <w:rPr/>
      <w:pict>
        <v:shape style="position:absolute;margin-left:545.400024pt;margin-top:729.90918pt;width:11.6pt;height:13.2pt;mso-position-horizontal-relative:page;mso-position-vertical-relative:page;z-index:-252113920" type="#_x0000_t202" filled="false" stroked="false">
          <v:textbox inset="0,0,0,0">
            <w:txbxContent>
              <w:p>
                <w:pPr>
                  <w:pStyle w:val="BodyText"/>
                  <w:spacing w:before="14"/>
                  <w:ind w:left="60"/>
                  <w:rPr>
                    <w:rFonts w:ascii="Arial"/>
                  </w:rPr>
                </w:pPr>
                <w:r>
                  <w:rPr/>
                  <w:fldChar w:fldCharType="begin"/>
                </w:r>
                <w:r>
                  <w:rPr>
                    <w:rFonts w:ascii="Arial"/>
                    <w:color w:val="ACACAC"/>
                    <w:w w:val="100"/>
                  </w:rPr>
                  <w:instrText> PAGE </w:instrText>
                </w:r>
                <w:r>
                  <w:rPr/>
                  <w:fldChar w:fldCharType="separate"/>
                </w:r>
                <w:r>
                  <w:rPr/>
                  <w:t>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203584">
          <wp:simplePos x="0" y="0"/>
          <wp:positionH relativeFrom="page">
            <wp:posOffset>761999</wp:posOffset>
          </wp:positionH>
          <wp:positionV relativeFrom="page">
            <wp:posOffset>9302747</wp:posOffset>
          </wp:positionV>
          <wp:extent cx="590549" cy="95249"/>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590549" cy="95249"/>
                  </a:xfrm>
                  <a:prstGeom prst="rect">
                    <a:avLst/>
                  </a:prstGeom>
                </pic:spPr>
              </pic:pic>
            </a:graphicData>
          </a:graphic>
        </wp:anchor>
      </w:drawing>
    </w:r>
    <w:r>
      <w:rPr/>
      <w:pict>
        <v:group style="position:absolute;margin-left:54pt;margin-top:726.721008pt;width:500pt;height:1pt;mso-position-horizontal-relative:page;mso-position-vertical-relative:page;z-index:-252111872" coordorigin="1080,14534" coordsize="10000,20">
          <v:line style="position:absolute" from="1080,14544" to="10380,14544" stroked="true" strokeweight=".959pt" strokecolor="#acacac">
            <v:stroke dashstyle="solid"/>
          </v:line>
          <v:rect style="position:absolute;left:10380;top:14534;width:20;height:20" filled="true" fillcolor="#acacac" stroked="false">
            <v:fill type="solid"/>
          </v:rect>
          <v:line style="position:absolute" from="10399,14544" to="11080,14544" stroked="true" strokeweight=".959pt" strokecolor="#acacac">
            <v:stroke dashstyle="solid"/>
          </v:line>
          <w10:wrap type="none"/>
        </v:group>
      </w:pict>
    </w:r>
    <w:r>
      <w:rPr/>
      <w:pict>
        <v:shape style="position:absolute;margin-left:115.879997pt;margin-top:729.90918pt;width:321.3pt;height:13.2pt;mso-position-horizontal-relative:page;mso-position-vertical-relative:page;z-index:-252110848" type="#_x0000_t202" filled="false" stroked="false">
          <v:textbox inset="0,0,0,0">
            <w:txbxContent>
              <w:p>
                <w:pPr>
                  <w:pStyle w:val="BodyText"/>
                  <w:spacing w:before="14"/>
                  <w:ind w:left="20"/>
                  <w:rPr>
                    <w:rFonts w:ascii="Arial" w:hAnsi="Arial"/>
                  </w:rPr>
                </w:pPr>
                <w:r>
                  <w:rPr>
                    <w:rFonts w:ascii="Arial" w:hAnsi="Arial"/>
                    <w:color w:val="ACACAC"/>
                  </w:rPr>
                  <w:t>© 2020 Thomson Reuters. No claim to original U.S. Government Works.</w:t>
                </w:r>
              </w:p>
            </w:txbxContent>
          </v:textbox>
          <w10:wrap type="none"/>
        </v:shape>
      </w:pict>
    </w:r>
    <w:r>
      <w:rPr/>
      <w:pict>
        <v:shape style="position:absolute;margin-left:547.400024pt;margin-top:729.90918pt;width:7.6pt;height:13.2pt;mso-position-horizontal-relative:page;mso-position-vertical-relative:page;z-index:-252109824" type="#_x0000_t202" filled="false" stroked="false">
          <v:textbox inset="0,0,0,0">
            <w:txbxContent>
              <w:p>
                <w:pPr>
                  <w:pStyle w:val="BodyText"/>
                  <w:spacing w:before="14"/>
                  <w:ind w:left="20"/>
                  <w:rPr>
                    <w:rFonts w:ascii="Arial"/>
                  </w:rPr>
                </w:pPr>
                <w:r>
                  <w:rPr>
                    <w:rFonts w:ascii="Arial"/>
                    <w:color w:val="ACACAC"/>
                    <w:w w:val="100"/>
                  </w:rPr>
                  <w:t>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207680">
          <wp:simplePos x="0" y="0"/>
          <wp:positionH relativeFrom="page">
            <wp:posOffset>761999</wp:posOffset>
          </wp:positionH>
          <wp:positionV relativeFrom="page">
            <wp:posOffset>9302747</wp:posOffset>
          </wp:positionV>
          <wp:extent cx="590549" cy="9524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590549" cy="95249"/>
                  </a:xfrm>
                  <a:prstGeom prst="rect">
                    <a:avLst/>
                  </a:prstGeom>
                </pic:spPr>
              </pic:pic>
            </a:graphicData>
          </a:graphic>
        </wp:anchor>
      </w:drawing>
    </w:r>
    <w:r>
      <w:rPr/>
      <w:pict>
        <v:group style="position:absolute;margin-left:54pt;margin-top:726.721008pt;width:500pt;height:1pt;mso-position-horizontal-relative:page;mso-position-vertical-relative:page;z-index:-252107776" coordorigin="1080,14534" coordsize="10000,20">
          <v:line style="position:absolute" from="1080,14544" to="10380,14544" stroked="true" strokeweight=".959pt" strokecolor="#acacac">
            <v:stroke dashstyle="solid"/>
          </v:line>
          <v:rect style="position:absolute;left:10380;top:14534;width:20;height:20" filled="true" fillcolor="#acacac" stroked="false">
            <v:fill type="solid"/>
          </v:rect>
          <v:line style="position:absolute" from="10399,14544" to="11080,14544" stroked="true" strokeweight=".959pt" strokecolor="#acacac">
            <v:stroke dashstyle="solid"/>
          </v:line>
          <w10:wrap type="none"/>
        </v:group>
      </w:pict>
    </w:r>
    <w:r>
      <w:rPr/>
      <w:pict>
        <v:shape style="position:absolute;margin-left:115.879997pt;margin-top:729.90918pt;width:321.3pt;height:13.2pt;mso-position-horizontal-relative:page;mso-position-vertical-relative:page;z-index:-252106752" type="#_x0000_t202" filled="false" stroked="false">
          <v:textbox inset="0,0,0,0">
            <w:txbxContent>
              <w:p>
                <w:pPr>
                  <w:pStyle w:val="BodyText"/>
                  <w:spacing w:before="14"/>
                  <w:ind w:left="20"/>
                  <w:rPr>
                    <w:rFonts w:ascii="Arial" w:hAnsi="Arial"/>
                  </w:rPr>
                </w:pPr>
                <w:r>
                  <w:rPr>
                    <w:rFonts w:ascii="Arial" w:hAnsi="Arial"/>
                    <w:color w:val="ACACAC"/>
                  </w:rPr>
                  <w:t>© 2020 Thomson Reuters. No claim to original U.S. Government Works.</w:t>
                </w:r>
              </w:p>
            </w:txbxContent>
          </v:textbox>
          <w10:wrap type="none"/>
        </v:shape>
      </w:pict>
    </w:r>
    <w:r>
      <w:rPr/>
      <w:pict>
        <v:shape style="position:absolute;margin-left:545.400024pt;margin-top:729.90918pt;width:11.6pt;height:13.2pt;mso-position-horizontal-relative:page;mso-position-vertical-relative:page;z-index:-252105728" type="#_x0000_t202" filled="false" stroked="false">
          <v:textbox inset="0,0,0,0">
            <w:txbxContent>
              <w:p>
                <w:pPr>
                  <w:pStyle w:val="BodyText"/>
                  <w:spacing w:before="14"/>
                  <w:ind w:left="60"/>
                  <w:rPr>
                    <w:rFonts w:ascii="Arial"/>
                  </w:rPr>
                </w:pPr>
                <w:r>
                  <w:rPr/>
                  <w:fldChar w:fldCharType="begin"/>
                </w:r>
                <w:r>
                  <w:rPr>
                    <w:rFonts w:ascii="Arial"/>
                    <w:color w:val="ACACAC"/>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2"/>
      <w:numFmt w:val="lowerLetter"/>
      <w:lvlText w:val="(%1)"/>
      <w:lvlJc w:val="left"/>
      <w:pPr>
        <w:ind w:left="120" w:hanging="313"/>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140" w:hanging="313"/>
      </w:pPr>
      <w:rPr>
        <w:rFonts w:hint="default"/>
      </w:rPr>
    </w:lvl>
    <w:lvl w:ilvl="2">
      <w:start w:val="0"/>
      <w:numFmt w:val="bullet"/>
      <w:lvlText w:val="•"/>
      <w:lvlJc w:val="left"/>
      <w:pPr>
        <w:ind w:left="2160" w:hanging="313"/>
      </w:pPr>
      <w:rPr>
        <w:rFonts w:hint="default"/>
      </w:rPr>
    </w:lvl>
    <w:lvl w:ilvl="3">
      <w:start w:val="0"/>
      <w:numFmt w:val="bullet"/>
      <w:lvlText w:val="•"/>
      <w:lvlJc w:val="left"/>
      <w:pPr>
        <w:ind w:left="3180" w:hanging="313"/>
      </w:pPr>
      <w:rPr>
        <w:rFonts w:hint="default"/>
      </w:rPr>
    </w:lvl>
    <w:lvl w:ilvl="4">
      <w:start w:val="0"/>
      <w:numFmt w:val="bullet"/>
      <w:lvlText w:val="•"/>
      <w:lvlJc w:val="left"/>
      <w:pPr>
        <w:ind w:left="4200" w:hanging="313"/>
      </w:pPr>
      <w:rPr>
        <w:rFonts w:hint="default"/>
      </w:rPr>
    </w:lvl>
    <w:lvl w:ilvl="5">
      <w:start w:val="0"/>
      <w:numFmt w:val="bullet"/>
      <w:lvlText w:val="•"/>
      <w:lvlJc w:val="left"/>
      <w:pPr>
        <w:ind w:left="5220" w:hanging="313"/>
      </w:pPr>
      <w:rPr>
        <w:rFonts w:hint="default"/>
      </w:rPr>
    </w:lvl>
    <w:lvl w:ilvl="6">
      <w:start w:val="0"/>
      <w:numFmt w:val="bullet"/>
      <w:lvlText w:val="•"/>
      <w:lvlJc w:val="left"/>
      <w:pPr>
        <w:ind w:left="6240" w:hanging="313"/>
      </w:pPr>
      <w:rPr>
        <w:rFonts w:hint="default"/>
      </w:rPr>
    </w:lvl>
    <w:lvl w:ilvl="7">
      <w:start w:val="0"/>
      <w:numFmt w:val="bullet"/>
      <w:lvlText w:val="•"/>
      <w:lvlJc w:val="left"/>
      <w:pPr>
        <w:ind w:left="7260" w:hanging="313"/>
      </w:pPr>
      <w:rPr>
        <w:rFonts w:hint="default"/>
      </w:rPr>
    </w:lvl>
    <w:lvl w:ilvl="8">
      <w:start w:val="0"/>
      <w:numFmt w:val="bullet"/>
      <w:lvlText w:val="•"/>
      <w:lvlJc w:val="left"/>
      <w:pPr>
        <w:ind w:left="8280" w:hanging="313"/>
      </w:pPr>
      <w:rPr>
        <w:rFonts w:hint="default"/>
      </w:rPr>
    </w:lvl>
  </w:abstractNum>
  <w:abstractNum w:abstractNumId="5">
    <w:multiLevelType w:val="hybridMultilevel"/>
    <w:lvl w:ilvl="0">
      <w:start w:val="1"/>
      <w:numFmt w:val="upperLetter"/>
      <w:lvlText w:val="%1."/>
      <w:lvlJc w:val="left"/>
      <w:pPr>
        <w:ind w:left="364" w:hanging="245"/>
        <w:jc w:val="right"/>
      </w:pPr>
      <w:rPr>
        <w:rFonts w:hint="default" w:ascii="Times New Roman" w:hAnsi="Times New Roman" w:eastAsia="Times New Roman" w:cs="Times New Roman"/>
        <w:w w:val="100"/>
        <w:sz w:val="20"/>
        <w:szCs w:val="20"/>
      </w:rPr>
    </w:lvl>
    <w:lvl w:ilvl="1">
      <w:start w:val="0"/>
      <w:numFmt w:val="bullet"/>
      <w:lvlText w:val="•"/>
      <w:lvlJc w:val="left"/>
      <w:pPr>
        <w:ind w:left="808" w:hanging="245"/>
      </w:pPr>
      <w:rPr>
        <w:rFonts w:hint="default"/>
      </w:rPr>
    </w:lvl>
    <w:lvl w:ilvl="2">
      <w:start w:val="0"/>
      <w:numFmt w:val="bullet"/>
      <w:lvlText w:val="•"/>
      <w:lvlJc w:val="left"/>
      <w:pPr>
        <w:ind w:left="1256" w:hanging="245"/>
      </w:pPr>
      <w:rPr>
        <w:rFonts w:hint="default"/>
      </w:rPr>
    </w:lvl>
    <w:lvl w:ilvl="3">
      <w:start w:val="0"/>
      <w:numFmt w:val="bullet"/>
      <w:lvlText w:val="•"/>
      <w:lvlJc w:val="left"/>
      <w:pPr>
        <w:ind w:left="1704" w:hanging="245"/>
      </w:pPr>
      <w:rPr>
        <w:rFonts w:hint="default"/>
      </w:rPr>
    </w:lvl>
    <w:lvl w:ilvl="4">
      <w:start w:val="0"/>
      <w:numFmt w:val="bullet"/>
      <w:lvlText w:val="•"/>
      <w:lvlJc w:val="left"/>
      <w:pPr>
        <w:ind w:left="2153" w:hanging="245"/>
      </w:pPr>
      <w:rPr>
        <w:rFonts w:hint="default"/>
      </w:rPr>
    </w:lvl>
    <w:lvl w:ilvl="5">
      <w:start w:val="0"/>
      <w:numFmt w:val="bullet"/>
      <w:lvlText w:val="•"/>
      <w:lvlJc w:val="left"/>
      <w:pPr>
        <w:ind w:left="2601" w:hanging="245"/>
      </w:pPr>
      <w:rPr>
        <w:rFonts w:hint="default"/>
      </w:rPr>
    </w:lvl>
    <w:lvl w:ilvl="6">
      <w:start w:val="0"/>
      <w:numFmt w:val="bullet"/>
      <w:lvlText w:val="•"/>
      <w:lvlJc w:val="left"/>
      <w:pPr>
        <w:ind w:left="3049" w:hanging="245"/>
      </w:pPr>
      <w:rPr>
        <w:rFonts w:hint="default"/>
      </w:rPr>
    </w:lvl>
    <w:lvl w:ilvl="7">
      <w:start w:val="0"/>
      <w:numFmt w:val="bullet"/>
      <w:lvlText w:val="•"/>
      <w:lvlJc w:val="left"/>
      <w:pPr>
        <w:ind w:left="3498" w:hanging="245"/>
      </w:pPr>
      <w:rPr>
        <w:rFonts w:hint="default"/>
      </w:rPr>
    </w:lvl>
    <w:lvl w:ilvl="8">
      <w:start w:val="0"/>
      <w:numFmt w:val="bullet"/>
      <w:lvlText w:val="•"/>
      <w:lvlJc w:val="left"/>
      <w:pPr>
        <w:ind w:left="3946" w:hanging="245"/>
      </w:pPr>
      <w:rPr>
        <w:rFonts w:hint="default"/>
      </w:rPr>
    </w:lvl>
  </w:abstractNum>
  <w:abstractNum w:abstractNumId="4">
    <w:multiLevelType w:val="hybridMultilevel"/>
    <w:lvl w:ilvl="0">
      <w:start w:val="2"/>
      <w:numFmt w:val="lowerLetter"/>
      <w:lvlText w:val="(%1)"/>
      <w:lvlJc w:val="left"/>
      <w:pPr>
        <w:ind w:left="119" w:hanging="290"/>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140" w:hanging="290"/>
      </w:pPr>
      <w:rPr>
        <w:rFonts w:hint="default"/>
      </w:rPr>
    </w:lvl>
    <w:lvl w:ilvl="2">
      <w:start w:val="0"/>
      <w:numFmt w:val="bullet"/>
      <w:lvlText w:val="•"/>
      <w:lvlJc w:val="left"/>
      <w:pPr>
        <w:ind w:left="2160" w:hanging="290"/>
      </w:pPr>
      <w:rPr>
        <w:rFonts w:hint="default"/>
      </w:rPr>
    </w:lvl>
    <w:lvl w:ilvl="3">
      <w:start w:val="0"/>
      <w:numFmt w:val="bullet"/>
      <w:lvlText w:val="•"/>
      <w:lvlJc w:val="left"/>
      <w:pPr>
        <w:ind w:left="3180" w:hanging="290"/>
      </w:pPr>
      <w:rPr>
        <w:rFonts w:hint="default"/>
      </w:rPr>
    </w:lvl>
    <w:lvl w:ilvl="4">
      <w:start w:val="0"/>
      <w:numFmt w:val="bullet"/>
      <w:lvlText w:val="•"/>
      <w:lvlJc w:val="left"/>
      <w:pPr>
        <w:ind w:left="4200" w:hanging="290"/>
      </w:pPr>
      <w:rPr>
        <w:rFonts w:hint="default"/>
      </w:rPr>
    </w:lvl>
    <w:lvl w:ilvl="5">
      <w:start w:val="0"/>
      <w:numFmt w:val="bullet"/>
      <w:lvlText w:val="•"/>
      <w:lvlJc w:val="left"/>
      <w:pPr>
        <w:ind w:left="5220" w:hanging="290"/>
      </w:pPr>
      <w:rPr>
        <w:rFonts w:hint="default"/>
      </w:rPr>
    </w:lvl>
    <w:lvl w:ilvl="6">
      <w:start w:val="0"/>
      <w:numFmt w:val="bullet"/>
      <w:lvlText w:val="•"/>
      <w:lvlJc w:val="left"/>
      <w:pPr>
        <w:ind w:left="6240" w:hanging="290"/>
      </w:pPr>
      <w:rPr>
        <w:rFonts w:hint="default"/>
      </w:rPr>
    </w:lvl>
    <w:lvl w:ilvl="7">
      <w:start w:val="0"/>
      <w:numFmt w:val="bullet"/>
      <w:lvlText w:val="•"/>
      <w:lvlJc w:val="left"/>
      <w:pPr>
        <w:ind w:left="7260" w:hanging="290"/>
      </w:pPr>
      <w:rPr>
        <w:rFonts w:hint="default"/>
      </w:rPr>
    </w:lvl>
    <w:lvl w:ilvl="8">
      <w:start w:val="0"/>
      <w:numFmt w:val="bullet"/>
      <w:lvlText w:val="•"/>
      <w:lvlJc w:val="left"/>
      <w:pPr>
        <w:ind w:left="8280" w:hanging="290"/>
      </w:pPr>
      <w:rPr>
        <w:rFonts w:hint="default"/>
      </w:rPr>
    </w:lvl>
  </w:abstractNum>
  <w:abstractNum w:abstractNumId="3">
    <w:multiLevelType w:val="hybridMultilevel"/>
    <w:lvl w:ilvl="0">
      <w:start w:val="2"/>
      <w:numFmt w:val="lowerLetter"/>
      <w:lvlText w:val="(%1)"/>
      <w:lvlJc w:val="left"/>
      <w:pPr>
        <w:ind w:left="119" w:hanging="316"/>
        <w:jc w:val="left"/>
      </w:pPr>
      <w:rPr>
        <w:rFonts w:hint="default" w:ascii="Times New Roman" w:hAnsi="Times New Roman" w:eastAsia="Times New Roman" w:cs="Times New Roman"/>
        <w:spacing w:val="-1"/>
        <w:w w:val="100"/>
        <w:sz w:val="20"/>
        <w:szCs w:val="20"/>
      </w:rPr>
    </w:lvl>
    <w:lvl w:ilvl="1">
      <w:start w:val="1"/>
      <w:numFmt w:val="decimal"/>
      <w:lvlText w:val="(%2)"/>
      <w:lvlJc w:val="left"/>
      <w:pPr>
        <w:ind w:left="119" w:hanging="316"/>
        <w:jc w:val="left"/>
      </w:pPr>
      <w:rPr>
        <w:rFonts w:hint="default" w:ascii="Times New Roman" w:hAnsi="Times New Roman" w:eastAsia="Times New Roman" w:cs="Times New Roman"/>
        <w:spacing w:val="-1"/>
        <w:w w:val="100"/>
        <w:sz w:val="20"/>
        <w:szCs w:val="20"/>
      </w:rPr>
    </w:lvl>
    <w:lvl w:ilvl="2">
      <w:start w:val="0"/>
      <w:numFmt w:val="bullet"/>
      <w:lvlText w:val="•"/>
      <w:lvlJc w:val="left"/>
      <w:pPr>
        <w:ind w:left="2160" w:hanging="316"/>
      </w:pPr>
      <w:rPr>
        <w:rFonts w:hint="default"/>
      </w:rPr>
    </w:lvl>
    <w:lvl w:ilvl="3">
      <w:start w:val="0"/>
      <w:numFmt w:val="bullet"/>
      <w:lvlText w:val="•"/>
      <w:lvlJc w:val="left"/>
      <w:pPr>
        <w:ind w:left="3180" w:hanging="316"/>
      </w:pPr>
      <w:rPr>
        <w:rFonts w:hint="default"/>
      </w:rPr>
    </w:lvl>
    <w:lvl w:ilvl="4">
      <w:start w:val="0"/>
      <w:numFmt w:val="bullet"/>
      <w:lvlText w:val="•"/>
      <w:lvlJc w:val="left"/>
      <w:pPr>
        <w:ind w:left="4200" w:hanging="316"/>
      </w:pPr>
      <w:rPr>
        <w:rFonts w:hint="default"/>
      </w:rPr>
    </w:lvl>
    <w:lvl w:ilvl="5">
      <w:start w:val="0"/>
      <w:numFmt w:val="bullet"/>
      <w:lvlText w:val="•"/>
      <w:lvlJc w:val="left"/>
      <w:pPr>
        <w:ind w:left="5220" w:hanging="316"/>
      </w:pPr>
      <w:rPr>
        <w:rFonts w:hint="default"/>
      </w:rPr>
    </w:lvl>
    <w:lvl w:ilvl="6">
      <w:start w:val="0"/>
      <w:numFmt w:val="bullet"/>
      <w:lvlText w:val="•"/>
      <w:lvlJc w:val="left"/>
      <w:pPr>
        <w:ind w:left="6240" w:hanging="316"/>
      </w:pPr>
      <w:rPr>
        <w:rFonts w:hint="default"/>
      </w:rPr>
    </w:lvl>
    <w:lvl w:ilvl="7">
      <w:start w:val="0"/>
      <w:numFmt w:val="bullet"/>
      <w:lvlText w:val="•"/>
      <w:lvlJc w:val="left"/>
      <w:pPr>
        <w:ind w:left="7260" w:hanging="316"/>
      </w:pPr>
      <w:rPr>
        <w:rFonts w:hint="default"/>
      </w:rPr>
    </w:lvl>
    <w:lvl w:ilvl="8">
      <w:start w:val="0"/>
      <w:numFmt w:val="bullet"/>
      <w:lvlText w:val="•"/>
      <w:lvlJc w:val="left"/>
      <w:pPr>
        <w:ind w:left="8280" w:hanging="316"/>
      </w:pPr>
      <w:rPr>
        <w:rFonts w:hint="default"/>
      </w:rPr>
    </w:lvl>
  </w:abstractNum>
  <w:abstractNum w:abstractNumId="2">
    <w:multiLevelType w:val="hybridMultilevel"/>
    <w:lvl w:ilvl="0">
      <w:start w:val="1"/>
      <w:numFmt w:val="decimal"/>
      <w:lvlText w:val="(%1)"/>
      <w:lvlJc w:val="left"/>
      <w:pPr>
        <w:ind w:left="300" w:hanging="334"/>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302" w:hanging="334"/>
      </w:pPr>
      <w:rPr>
        <w:rFonts w:hint="default"/>
      </w:rPr>
    </w:lvl>
    <w:lvl w:ilvl="2">
      <w:start w:val="0"/>
      <w:numFmt w:val="bullet"/>
      <w:lvlText w:val="•"/>
      <w:lvlJc w:val="left"/>
      <w:pPr>
        <w:ind w:left="2304" w:hanging="334"/>
      </w:pPr>
      <w:rPr>
        <w:rFonts w:hint="default"/>
      </w:rPr>
    </w:lvl>
    <w:lvl w:ilvl="3">
      <w:start w:val="0"/>
      <w:numFmt w:val="bullet"/>
      <w:lvlText w:val="•"/>
      <w:lvlJc w:val="left"/>
      <w:pPr>
        <w:ind w:left="3306" w:hanging="334"/>
      </w:pPr>
      <w:rPr>
        <w:rFonts w:hint="default"/>
      </w:rPr>
    </w:lvl>
    <w:lvl w:ilvl="4">
      <w:start w:val="0"/>
      <w:numFmt w:val="bullet"/>
      <w:lvlText w:val="•"/>
      <w:lvlJc w:val="left"/>
      <w:pPr>
        <w:ind w:left="4308" w:hanging="334"/>
      </w:pPr>
      <w:rPr>
        <w:rFonts w:hint="default"/>
      </w:rPr>
    </w:lvl>
    <w:lvl w:ilvl="5">
      <w:start w:val="0"/>
      <w:numFmt w:val="bullet"/>
      <w:lvlText w:val="•"/>
      <w:lvlJc w:val="left"/>
      <w:pPr>
        <w:ind w:left="5310" w:hanging="334"/>
      </w:pPr>
      <w:rPr>
        <w:rFonts w:hint="default"/>
      </w:rPr>
    </w:lvl>
    <w:lvl w:ilvl="6">
      <w:start w:val="0"/>
      <w:numFmt w:val="bullet"/>
      <w:lvlText w:val="•"/>
      <w:lvlJc w:val="left"/>
      <w:pPr>
        <w:ind w:left="6312" w:hanging="334"/>
      </w:pPr>
      <w:rPr>
        <w:rFonts w:hint="default"/>
      </w:rPr>
    </w:lvl>
    <w:lvl w:ilvl="7">
      <w:start w:val="0"/>
      <w:numFmt w:val="bullet"/>
      <w:lvlText w:val="•"/>
      <w:lvlJc w:val="left"/>
      <w:pPr>
        <w:ind w:left="7314" w:hanging="334"/>
      </w:pPr>
      <w:rPr>
        <w:rFonts w:hint="default"/>
      </w:rPr>
    </w:lvl>
    <w:lvl w:ilvl="8">
      <w:start w:val="0"/>
      <w:numFmt w:val="bullet"/>
      <w:lvlText w:val="•"/>
      <w:lvlJc w:val="left"/>
      <w:pPr>
        <w:ind w:left="8316" w:hanging="334"/>
      </w:pPr>
      <w:rPr>
        <w:rFonts w:hint="default"/>
      </w:rPr>
    </w:lvl>
  </w:abstractNum>
  <w:abstractNum w:abstractNumId="1">
    <w:multiLevelType w:val="hybridMultilevel"/>
    <w:lvl w:ilvl="0">
      <w:start w:val="1"/>
      <w:numFmt w:val="decimal"/>
      <w:lvlText w:val="%1."/>
      <w:lvlJc w:val="left"/>
      <w:pPr>
        <w:ind w:left="729" w:hanging="340"/>
        <w:jc w:val="left"/>
      </w:pPr>
      <w:rPr>
        <w:rFonts w:hint="default" w:ascii="Arial" w:hAnsi="Arial" w:eastAsia="Arial" w:cs="Arial"/>
        <w:color w:val="313134"/>
        <w:spacing w:val="-11"/>
        <w:w w:val="106"/>
        <w:sz w:val="24"/>
        <w:szCs w:val="24"/>
      </w:rPr>
    </w:lvl>
    <w:lvl w:ilvl="1">
      <w:start w:val="0"/>
      <w:numFmt w:val="bullet"/>
      <w:lvlText w:val="•"/>
      <w:lvlJc w:val="left"/>
      <w:pPr>
        <w:ind w:left="1680" w:hanging="340"/>
      </w:pPr>
      <w:rPr>
        <w:rFonts w:hint="default"/>
      </w:rPr>
    </w:lvl>
    <w:lvl w:ilvl="2">
      <w:start w:val="0"/>
      <w:numFmt w:val="bullet"/>
      <w:lvlText w:val="•"/>
      <w:lvlJc w:val="left"/>
      <w:pPr>
        <w:ind w:left="2640" w:hanging="340"/>
      </w:pPr>
      <w:rPr>
        <w:rFonts w:hint="default"/>
      </w:rPr>
    </w:lvl>
    <w:lvl w:ilvl="3">
      <w:start w:val="0"/>
      <w:numFmt w:val="bullet"/>
      <w:lvlText w:val="•"/>
      <w:lvlJc w:val="left"/>
      <w:pPr>
        <w:ind w:left="3600" w:hanging="340"/>
      </w:pPr>
      <w:rPr>
        <w:rFonts w:hint="default"/>
      </w:rPr>
    </w:lvl>
    <w:lvl w:ilvl="4">
      <w:start w:val="0"/>
      <w:numFmt w:val="bullet"/>
      <w:lvlText w:val="•"/>
      <w:lvlJc w:val="left"/>
      <w:pPr>
        <w:ind w:left="4560" w:hanging="340"/>
      </w:pPr>
      <w:rPr>
        <w:rFonts w:hint="default"/>
      </w:rPr>
    </w:lvl>
    <w:lvl w:ilvl="5">
      <w:start w:val="0"/>
      <w:numFmt w:val="bullet"/>
      <w:lvlText w:val="•"/>
      <w:lvlJc w:val="left"/>
      <w:pPr>
        <w:ind w:left="5520" w:hanging="340"/>
      </w:pPr>
      <w:rPr>
        <w:rFonts w:hint="default"/>
      </w:rPr>
    </w:lvl>
    <w:lvl w:ilvl="6">
      <w:start w:val="0"/>
      <w:numFmt w:val="bullet"/>
      <w:lvlText w:val="•"/>
      <w:lvlJc w:val="left"/>
      <w:pPr>
        <w:ind w:left="6480" w:hanging="340"/>
      </w:pPr>
      <w:rPr>
        <w:rFonts w:hint="default"/>
      </w:rPr>
    </w:lvl>
    <w:lvl w:ilvl="7">
      <w:start w:val="0"/>
      <w:numFmt w:val="bullet"/>
      <w:lvlText w:val="•"/>
      <w:lvlJc w:val="left"/>
      <w:pPr>
        <w:ind w:left="7440" w:hanging="340"/>
      </w:pPr>
      <w:rPr>
        <w:rFonts w:hint="default"/>
      </w:rPr>
    </w:lvl>
    <w:lvl w:ilvl="8">
      <w:start w:val="0"/>
      <w:numFmt w:val="bullet"/>
      <w:lvlText w:val="•"/>
      <w:lvlJc w:val="left"/>
      <w:pPr>
        <w:ind w:left="8400" w:hanging="340"/>
      </w:pPr>
      <w:rPr>
        <w:rFonts w:hint="default"/>
      </w:rPr>
    </w:lvl>
  </w:abstractNum>
  <w:abstractNum w:abstractNumId="0">
    <w:multiLevelType w:val="hybridMultilevel"/>
    <w:lvl w:ilvl="0">
      <w:start w:val="1"/>
      <w:numFmt w:val="decimal"/>
      <w:lvlText w:val="%1."/>
      <w:lvlJc w:val="left"/>
      <w:pPr>
        <w:ind w:left="392" w:hanging="272"/>
        <w:jc w:val="left"/>
      </w:pPr>
      <w:rPr>
        <w:rFonts w:hint="default"/>
        <w:w w:val="102"/>
      </w:rPr>
    </w:lvl>
    <w:lvl w:ilvl="1">
      <w:start w:val="0"/>
      <w:numFmt w:val="bullet"/>
      <w:lvlText w:val="•"/>
      <w:lvlJc w:val="left"/>
      <w:pPr>
        <w:ind w:left="1392" w:hanging="272"/>
      </w:pPr>
      <w:rPr>
        <w:rFonts w:hint="default"/>
      </w:rPr>
    </w:lvl>
    <w:lvl w:ilvl="2">
      <w:start w:val="0"/>
      <w:numFmt w:val="bullet"/>
      <w:lvlText w:val="•"/>
      <w:lvlJc w:val="left"/>
      <w:pPr>
        <w:ind w:left="2384" w:hanging="272"/>
      </w:pPr>
      <w:rPr>
        <w:rFonts w:hint="default"/>
      </w:rPr>
    </w:lvl>
    <w:lvl w:ilvl="3">
      <w:start w:val="0"/>
      <w:numFmt w:val="bullet"/>
      <w:lvlText w:val="•"/>
      <w:lvlJc w:val="left"/>
      <w:pPr>
        <w:ind w:left="3376" w:hanging="272"/>
      </w:pPr>
      <w:rPr>
        <w:rFonts w:hint="default"/>
      </w:rPr>
    </w:lvl>
    <w:lvl w:ilvl="4">
      <w:start w:val="0"/>
      <w:numFmt w:val="bullet"/>
      <w:lvlText w:val="•"/>
      <w:lvlJc w:val="left"/>
      <w:pPr>
        <w:ind w:left="4368" w:hanging="272"/>
      </w:pPr>
      <w:rPr>
        <w:rFonts w:hint="default"/>
      </w:rPr>
    </w:lvl>
    <w:lvl w:ilvl="5">
      <w:start w:val="0"/>
      <w:numFmt w:val="bullet"/>
      <w:lvlText w:val="•"/>
      <w:lvlJc w:val="left"/>
      <w:pPr>
        <w:ind w:left="5360" w:hanging="272"/>
      </w:pPr>
      <w:rPr>
        <w:rFonts w:hint="default"/>
      </w:rPr>
    </w:lvl>
    <w:lvl w:ilvl="6">
      <w:start w:val="0"/>
      <w:numFmt w:val="bullet"/>
      <w:lvlText w:val="•"/>
      <w:lvlJc w:val="left"/>
      <w:pPr>
        <w:ind w:left="6352" w:hanging="272"/>
      </w:pPr>
      <w:rPr>
        <w:rFonts w:hint="default"/>
      </w:rPr>
    </w:lvl>
    <w:lvl w:ilvl="7">
      <w:start w:val="0"/>
      <w:numFmt w:val="bullet"/>
      <w:lvlText w:val="•"/>
      <w:lvlJc w:val="left"/>
      <w:pPr>
        <w:ind w:left="7344" w:hanging="272"/>
      </w:pPr>
      <w:rPr>
        <w:rFonts w:hint="default"/>
      </w:rPr>
    </w:lvl>
    <w:lvl w:ilvl="8">
      <w:start w:val="0"/>
      <w:numFmt w:val="bullet"/>
      <w:lvlText w:val="•"/>
      <w:lvlJc w:val="left"/>
      <w:pPr>
        <w:ind w:left="8336" w:hanging="272"/>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405" w:right="539"/>
      <w:outlineLvl w:val="1"/>
    </w:pPr>
    <w:rPr>
      <w:rFonts w:ascii="Arial" w:hAnsi="Arial" w:eastAsia="Arial" w:cs="Arial"/>
      <w:sz w:val="24"/>
      <w:szCs w:val="24"/>
    </w:rPr>
  </w:style>
  <w:style w:styleId="Heading2" w:type="paragraph">
    <w:name w:val="Heading 2"/>
    <w:basedOn w:val="Normal"/>
    <w:uiPriority w:val="1"/>
    <w:qFormat/>
    <w:pPr>
      <w:ind w:right="-15"/>
      <w:jc w:val="both"/>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19"/>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numbering" Target="numbering.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8-20-2020 to City Council.pdf</dc:title>
  <dcterms:created xsi:type="dcterms:W3CDTF">2020-08-24T19:07:33Z</dcterms:created>
  <dcterms:modified xsi:type="dcterms:W3CDTF">2020-08-24T19:07:33Z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2020-08-22T00:00:00Z</vt:filetime>
  </property>
  <property fmtid="{D5CDD505-2E9C-101B-9397-08002B2CF9AE}" pid="3" name="Creator">
    <vt:lpwstr>Preview</vt:lpwstr>
  </property>
  <property fmtid="{D5CDD505-2E9C-101B-9397-08002B2CF9AE}" pid="4" name="LastSaved">
    <vt:filetime>2020-08-24T00:00:00Z</vt:filetime>
  </property>
</Properties>
</file>